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D47" w:rsidRDefault="00243D47" w:rsidP="00243D47">
      <w:pPr>
        <w:jc w:val="center"/>
        <w:rPr>
          <w:b/>
          <w:bCs/>
          <w:caps/>
        </w:rPr>
      </w:pPr>
    </w:p>
    <w:p w:rsidR="00CA4C35" w:rsidRPr="00243D47" w:rsidRDefault="00CA4C35" w:rsidP="00243D47">
      <w:pPr>
        <w:jc w:val="center"/>
        <w:rPr>
          <w:b/>
          <w:bCs/>
          <w:caps/>
        </w:rPr>
      </w:pPr>
      <w:r w:rsidRPr="00243D47">
        <w:rPr>
          <w:b/>
          <w:bCs/>
          <w:caps/>
        </w:rPr>
        <w:t xml:space="preserve">DETERMINANTS OF Economic Growth IN </w:t>
      </w:r>
      <w:r w:rsidR="00B60D49">
        <w:rPr>
          <w:b/>
          <w:bCs/>
          <w:caps/>
        </w:rPr>
        <w:t>TURKEY</w:t>
      </w:r>
    </w:p>
    <w:p w:rsidR="00CA4C35" w:rsidRPr="00243D47" w:rsidRDefault="00CA4C35" w:rsidP="00243D47">
      <w:pPr>
        <w:jc w:val="center"/>
        <w:rPr>
          <w:bCs/>
          <w:caps/>
        </w:rPr>
      </w:pPr>
    </w:p>
    <w:p w:rsidR="00CA4C35" w:rsidRPr="00243D47" w:rsidRDefault="00CA4C35" w:rsidP="00243D47">
      <w:pPr>
        <w:jc w:val="center"/>
        <w:rPr>
          <w:bCs/>
          <w:caps/>
        </w:rPr>
      </w:pPr>
    </w:p>
    <w:p w:rsidR="001458C0" w:rsidRPr="00243D47" w:rsidRDefault="006D3375" w:rsidP="00243D47">
      <w:pPr>
        <w:jc w:val="center"/>
        <w:rPr>
          <w:b/>
          <w:bCs/>
        </w:rPr>
      </w:pPr>
      <w:r w:rsidRPr="00243D47">
        <w:rPr>
          <w:b/>
          <w:bCs/>
        </w:rPr>
        <w:t xml:space="preserve">Murni </w:t>
      </w:r>
      <w:r w:rsidR="001458C0" w:rsidRPr="00243D47">
        <w:rPr>
          <w:b/>
          <w:bCs/>
        </w:rPr>
        <w:t>Yunus</w:t>
      </w:r>
      <w:r w:rsidR="00243D47" w:rsidRPr="00243D47">
        <w:rPr>
          <w:b/>
          <w:bCs/>
        </w:rPr>
        <w:t xml:space="preserve"> </w:t>
      </w:r>
      <w:r w:rsidR="00243D47" w:rsidRPr="00243D47">
        <w:rPr>
          <w:b/>
          <w:bCs/>
        </w:rPr>
        <w:t>Mawar</w:t>
      </w:r>
    </w:p>
    <w:p w:rsidR="007204B0" w:rsidRPr="00243D47" w:rsidRDefault="001458C0" w:rsidP="00243D47">
      <w:pPr>
        <w:jc w:val="center"/>
        <w:rPr>
          <w:bCs/>
        </w:rPr>
      </w:pPr>
      <w:r w:rsidRPr="00243D47">
        <w:rPr>
          <w:bCs/>
        </w:rPr>
        <w:t>Economics Department,</w:t>
      </w:r>
    </w:p>
    <w:p w:rsidR="001458C0" w:rsidRPr="00243D47" w:rsidRDefault="001458C0" w:rsidP="00243D47">
      <w:pPr>
        <w:jc w:val="center"/>
        <w:rPr>
          <w:bCs/>
        </w:rPr>
      </w:pPr>
      <w:r w:rsidRPr="00243D47">
        <w:rPr>
          <w:bCs/>
        </w:rPr>
        <w:t xml:space="preserve">Faculty of Management </w:t>
      </w:r>
      <w:r w:rsidR="00243D47" w:rsidRPr="00243D47">
        <w:rPr>
          <w:bCs/>
        </w:rPr>
        <w:t>&amp;</w:t>
      </w:r>
      <w:r w:rsidRPr="00243D47">
        <w:rPr>
          <w:bCs/>
        </w:rPr>
        <w:t xml:space="preserve"> </w:t>
      </w:r>
      <w:proofErr w:type="spellStart"/>
      <w:r w:rsidRPr="00243D47">
        <w:rPr>
          <w:bCs/>
        </w:rPr>
        <w:t>Muamalah</w:t>
      </w:r>
      <w:proofErr w:type="spellEnd"/>
      <w:r w:rsidRPr="00243D47">
        <w:rPr>
          <w:bCs/>
        </w:rPr>
        <w:t>,</w:t>
      </w:r>
    </w:p>
    <w:p w:rsidR="007204B0" w:rsidRPr="00243D47" w:rsidRDefault="007204B0" w:rsidP="00243D47">
      <w:pPr>
        <w:jc w:val="center"/>
      </w:pPr>
      <w:r w:rsidRPr="00243D47">
        <w:t>International Islamic Un</w:t>
      </w:r>
      <w:r w:rsidR="00E374BD" w:rsidRPr="00243D47">
        <w:t>iversity College Selangor</w:t>
      </w:r>
      <w:r w:rsidR="00243D47">
        <w:t>, Malaysia</w:t>
      </w:r>
    </w:p>
    <w:p w:rsidR="001458C0" w:rsidRPr="00243D47" w:rsidRDefault="00F811FF" w:rsidP="00243D47">
      <w:pPr>
        <w:jc w:val="center"/>
      </w:pPr>
      <w:hyperlink r:id="rId7" w:history="1">
        <w:r w:rsidR="001458C0" w:rsidRPr="00243D47">
          <w:rPr>
            <w:rStyle w:val="Hyperlink"/>
          </w:rPr>
          <w:t>mawarmurni@kuis.edu.my</w:t>
        </w:r>
      </w:hyperlink>
    </w:p>
    <w:p w:rsidR="007204B0" w:rsidRPr="00243D47" w:rsidRDefault="007204B0" w:rsidP="00243D47">
      <w:pPr>
        <w:jc w:val="center"/>
      </w:pPr>
    </w:p>
    <w:p w:rsidR="007204B0" w:rsidRPr="00243D47" w:rsidRDefault="007204B0" w:rsidP="00243D47">
      <w:pPr>
        <w:jc w:val="center"/>
        <w:rPr>
          <w:b/>
        </w:rPr>
      </w:pPr>
      <w:proofErr w:type="spellStart"/>
      <w:r w:rsidRPr="00243D47">
        <w:rPr>
          <w:b/>
        </w:rPr>
        <w:t>Mohd</w:t>
      </w:r>
      <w:proofErr w:type="spellEnd"/>
      <w:r w:rsidRPr="00243D47">
        <w:rPr>
          <w:b/>
        </w:rPr>
        <w:t xml:space="preserve"> </w:t>
      </w:r>
      <w:proofErr w:type="spellStart"/>
      <w:r w:rsidRPr="00243D47">
        <w:rPr>
          <w:b/>
        </w:rPr>
        <w:t>Adib</w:t>
      </w:r>
      <w:proofErr w:type="spellEnd"/>
      <w:r w:rsidRPr="00243D47">
        <w:rPr>
          <w:b/>
        </w:rPr>
        <w:t xml:space="preserve"> </w:t>
      </w:r>
      <w:r w:rsidR="00243D47">
        <w:rPr>
          <w:b/>
        </w:rPr>
        <w:t>Ismail</w:t>
      </w:r>
    </w:p>
    <w:p w:rsidR="007204B0" w:rsidRPr="00243D47" w:rsidRDefault="007204B0" w:rsidP="00243D47">
      <w:pPr>
        <w:jc w:val="center"/>
        <w:rPr>
          <w:bCs/>
        </w:rPr>
      </w:pPr>
      <w:r w:rsidRPr="00243D47">
        <w:rPr>
          <w:bCs/>
        </w:rPr>
        <w:t xml:space="preserve">Faculty of Economics </w:t>
      </w:r>
      <w:r w:rsidR="00243D47">
        <w:rPr>
          <w:bCs/>
        </w:rPr>
        <w:t>&amp;</w:t>
      </w:r>
      <w:r w:rsidRPr="00243D47">
        <w:rPr>
          <w:bCs/>
        </w:rPr>
        <w:t xml:space="preserve"> Management,</w:t>
      </w:r>
    </w:p>
    <w:p w:rsidR="007204B0" w:rsidRPr="00243D47" w:rsidRDefault="007204B0" w:rsidP="00243D47">
      <w:pPr>
        <w:jc w:val="center"/>
        <w:rPr>
          <w:bCs/>
        </w:rPr>
      </w:pPr>
      <w:proofErr w:type="spellStart"/>
      <w:r w:rsidRPr="00243D47">
        <w:rPr>
          <w:bCs/>
        </w:rPr>
        <w:t>Universiti</w:t>
      </w:r>
      <w:proofErr w:type="spellEnd"/>
      <w:r w:rsidRPr="00243D47">
        <w:rPr>
          <w:bCs/>
        </w:rPr>
        <w:t xml:space="preserve"> </w:t>
      </w:r>
      <w:proofErr w:type="spellStart"/>
      <w:r w:rsidRPr="00243D47">
        <w:rPr>
          <w:bCs/>
        </w:rPr>
        <w:t>Kebangsaan</w:t>
      </w:r>
      <w:proofErr w:type="spellEnd"/>
      <w:r w:rsidRPr="00243D47">
        <w:rPr>
          <w:bCs/>
        </w:rPr>
        <w:t xml:space="preserve"> Malaysia</w:t>
      </w:r>
    </w:p>
    <w:p w:rsidR="007204B0" w:rsidRPr="00243D47" w:rsidRDefault="007204B0" w:rsidP="00243D47">
      <w:pPr>
        <w:jc w:val="center"/>
        <w:rPr>
          <w:bCs/>
        </w:rPr>
      </w:pPr>
      <w:r w:rsidRPr="00243D47">
        <w:rPr>
          <w:bCs/>
        </w:rPr>
        <w:t xml:space="preserve">43600 UKM </w:t>
      </w:r>
      <w:proofErr w:type="spellStart"/>
      <w:r w:rsidRPr="00243D47">
        <w:rPr>
          <w:bCs/>
        </w:rPr>
        <w:t>Bangi</w:t>
      </w:r>
      <w:proofErr w:type="spellEnd"/>
      <w:r w:rsidRPr="00243D47">
        <w:rPr>
          <w:bCs/>
        </w:rPr>
        <w:t>, Selangor</w:t>
      </w:r>
      <w:r w:rsidR="00243D47">
        <w:rPr>
          <w:bCs/>
        </w:rPr>
        <w:t xml:space="preserve">, </w:t>
      </w:r>
      <w:r w:rsidR="00243D47">
        <w:t>Malaysia</w:t>
      </w:r>
    </w:p>
    <w:p w:rsidR="007204B0" w:rsidRPr="00243D47" w:rsidRDefault="00F811FF" w:rsidP="00243D47">
      <w:pPr>
        <w:jc w:val="center"/>
        <w:rPr>
          <w:bCs/>
        </w:rPr>
      </w:pPr>
      <w:hyperlink r:id="rId8" w:history="1">
        <w:r w:rsidR="00192D5D" w:rsidRPr="00243D47">
          <w:rPr>
            <w:rStyle w:val="Hyperlink"/>
            <w:bCs/>
          </w:rPr>
          <w:t>mohadis@ukm.my</w:t>
        </w:r>
      </w:hyperlink>
    </w:p>
    <w:p w:rsidR="001458C0" w:rsidRPr="00243D47" w:rsidRDefault="001458C0" w:rsidP="00243D47">
      <w:pPr>
        <w:jc w:val="center"/>
        <w:rPr>
          <w:bCs/>
        </w:rPr>
      </w:pPr>
    </w:p>
    <w:p w:rsidR="00192D5D" w:rsidRPr="00243D47" w:rsidRDefault="00192D5D" w:rsidP="00243D47">
      <w:pPr>
        <w:jc w:val="center"/>
        <w:rPr>
          <w:bCs/>
          <w:vertAlign w:val="superscript"/>
        </w:rPr>
      </w:pPr>
    </w:p>
    <w:p w:rsidR="00F757C5" w:rsidRPr="00243D47" w:rsidRDefault="00192D5D" w:rsidP="00243D47">
      <w:pPr>
        <w:jc w:val="center"/>
        <w:rPr>
          <w:b/>
        </w:rPr>
      </w:pPr>
      <w:r w:rsidRPr="00243D47">
        <w:rPr>
          <w:b/>
        </w:rPr>
        <w:t>ABSTRACT</w:t>
      </w:r>
    </w:p>
    <w:p w:rsidR="006D3375" w:rsidRPr="00243D47" w:rsidRDefault="006D3375" w:rsidP="00243D47">
      <w:pPr>
        <w:rPr>
          <w:b/>
          <w:caps/>
        </w:rPr>
      </w:pPr>
    </w:p>
    <w:p w:rsidR="00823493" w:rsidRPr="00243D47" w:rsidRDefault="00823493" w:rsidP="00243D47">
      <w:pPr>
        <w:autoSpaceDE w:val="0"/>
        <w:autoSpaceDN w:val="0"/>
        <w:adjustRightInd w:val="0"/>
        <w:ind w:left="567" w:right="855"/>
        <w:jc w:val="both"/>
      </w:pPr>
      <w:bookmarkStart w:id="0" w:name="OLE_LINK2"/>
      <w:bookmarkStart w:id="1" w:name="OLE_LINK3"/>
      <w:r w:rsidRPr="00243D47">
        <w:t>Using quarterly</w:t>
      </w:r>
      <w:r w:rsidR="00116553" w:rsidRPr="00243D47">
        <w:t xml:space="preserve"> tim</w:t>
      </w:r>
      <w:r w:rsidRPr="00243D47">
        <w:t>e series data for the period 197</w:t>
      </w:r>
      <w:r w:rsidR="00116553" w:rsidRPr="00243D47">
        <w:t>0–200</w:t>
      </w:r>
      <w:bookmarkEnd w:id="0"/>
      <w:bookmarkEnd w:id="1"/>
      <w:r w:rsidRPr="00243D47">
        <w:t>7</w:t>
      </w:r>
      <w:r w:rsidR="00116553" w:rsidRPr="00243D47">
        <w:t xml:space="preserve">, this paper examines the determinants of </w:t>
      </w:r>
      <w:r w:rsidRPr="00243D47">
        <w:t xml:space="preserve">economic growth in </w:t>
      </w:r>
      <w:r w:rsidR="00B60D49">
        <w:t>Turkey</w:t>
      </w:r>
      <w:r w:rsidRPr="00243D47">
        <w:t>. A statistical analysis of data on 151 observations</w:t>
      </w:r>
      <w:r w:rsidR="000C03B2" w:rsidRPr="00243D47">
        <w:t xml:space="preserve"> </w:t>
      </w:r>
      <w:r w:rsidR="00252AE8" w:rsidRPr="00243D47">
        <w:t>validate</w:t>
      </w:r>
      <w:r w:rsidR="000C03B2" w:rsidRPr="00243D47">
        <w:t>s the findings in the literature of empirical studies of economic growth</w:t>
      </w:r>
      <w:r w:rsidR="00244CE4" w:rsidRPr="00243D47">
        <w:t xml:space="preserve"> except financial development</w:t>
      </w:r>
      <w:r w:rsidR="00252AE8" w:rsidRPr="00243D47">
        <w:t>. We</w:t>
      </w:r>
      <w:r w:rsidR="007156F9">
        <w:t xml:space="preserve"> find that</w:t>
      </w:r>
      <w:proofErr w:type="gramStart"/>
      <w:r w:rsidR="007156F9">
        <w:t>…..</w:t>
      </w:r>
      <w:proofErr w:type="gramEnd"/>
    </w:p>
    <w:p w:rsidR="002628AD" w:rsidRPr="00243D47" w:rsidRDefault="002628AD" w:rsidP="00243D47">
      <w:pPr>
        <w:autoSpaceDE w:val="0"/>
        <w:autoSpaceDN w:val="0"/>
        <w:adjustRightInd w:val="0"/>
        <w:rPr>
          <w:i/>
        </w:rPr>
      </w:pPr>
    </w:p>
    <w:p w:rsidR="00116553" w:rsidRPr="00243D47" w:rsidRDefault="00116553" w:rsidP="00243D47">
      <w:pPr>
        <w:rPr>
          <w:i/>
        </w:rPr>
      </w:pPr>
      <w:r w:rsidRPr="00243D47">
        <w:rPr>
          <w:b/>
          <w:iCs/>
        </w:rPr>
        <w:t>Keywords</w:t>
      </w:r>
      <w:r w:rsidRPr="00243D47">
        <w:rPr>
          <w:i/>
          <w:iCs/>
        </w:rPr>
        <w:t xml:space="preserve">: </w:t>
      </w:r>
      <w:r w:rsidR="00345CB9" w:rsidRPr="00243D47">
        <w:rPr>
          <w:i/>
        </w:rPr>
        <w:t>Economic G</w:t>
      </w:r>
      <w:r w:rsidR="000C03B2" w:rsidRPr="00243D47">
        <w:rPr>
          <w:i/>
        </w:rPr>
        <w:t xml:space="preserve">rowth; </w:t>
      </w:r>
      <w:r w:rsidR="00345CB9" w:rsidRPr="00243D47">
        <w:rPr>
          <w:i/>
        </w:rPr>
        <w:t>Capital F</w:t>
      </w:r>
      <w:r w:rsidR="000C03B2" w:rsidRPr="00243D47">
        <w:rPr>
          <w:i/>
        </w:rPr>
        <w:t xml:space="preserve">ormation; </w:t>
      </w:r>
      <w:r w:rsidR="00345CB9" w:rsidRPr="00243D47">
        <w:rPr>
          <w:i/>
        </w:rPr>
        <w:t>Total T</w:t>
      </w:r>
      <w:r w:rsidR="000C03B2" w:rsidRPr="00243D47">
        <w:rPr>
          <w:i/>
        </w:rPr>
        <w:t xml:space="preserve">rade; </w:t>
      </w:r>
      <w:r w:rsidR="00345CB9" w:rsidRPr="00243D47">
        <w:rPr>
          <w:i/>
        </w:rPr>
        <w:t>F</w:t>
      </w:r>
      <w:r w:rsidR="000C03B2" w:rsidRPr="00243D47">
        <w:rPr>
          <w:i/>
        </w:rPr>
        <w:t>ina</w:t>
      </w:r>
      <w:r w:rsidR="00345CB9" w:rsidRPr="00243D47">
        <w:rPr>
          <w:i/>
        </w:rPr>
        <w:t>ncial D</w:t>
      </w:r>
      <w:r w:rsidR="00243D47">
        <w:rPr>
          <w:i/>
        </w:rPr>
        <w:t>evelopment</w:t>
      </w:r>
    </w:p>
    <w:p w:rsidR="00116553" w:rsidRPr="00243D47" w:rsidRDefault="00116553" w:rsidP="00243D47">
      <w:pPr>
        <w:rPr>
          <w:b/>
        </w:rPr>
      </w:pPr>
    </w:p>
    <w:p w:rsidR="006D3375" w:rsidRPr="00243D47" w:rsidRDefault="006D3375" w:rsidP="00243D47">
      <w:pPr>
        <w:rPr>
          <w:b/>
        </w:rPr>
      </w:pPr>
      <w:r w:rsidRPr="00243D47">
        <w:rPr>
          <w:b/>
        </w:rPr>
        <w:t>--------------------------------------------------------------------------------------------------------------------</w:t>
      </w:r>
      <w:r w:rsidR="00243D47">
        <w:rPr>
          <w:b/>
        </w:rPr>
        <w:t>-</w:t>
      </w:r>
    </w:p>
    <w:p w:rsidR="006D3375" w:rsidRPr="00243D47" w:rsidRDefault="006D3375" w:rsidP="00243D47">
      <w:pPr>
        <w:rPr>
          <w:b/>
        </w:rPr>
      </w:pPr>
    </w:p>
    <w:p w:rsidR="001B2DA9" w:rsidRPr="00243D47" w:rsidRDefault="001B2DA9" w:rsidP="00B67A46">
      <w:pPr>
        <w:pStyle w:val="ListParagraph"/>
        <w:numPr>
          <w:ilvl w:val="0"/>
          <w:numId w:val="8"/>
        </w:numPr>
        <w:ind w:left="567" w:hanging="567"/>
        <w:jc w:val="both"/>
        <w:rPr>
          <w:b/>
        </w:rPr>
      </w:pPr>
      <w:r w:rsidRPr="00243D47">
        <w:rPr>
          <w:b/>
        </w:rPr>
        <w:t>Introduction</w:t>
      </w:r>
    </w:p>
    <w:p w:rsidR="00374D98" w:rsidRPr="00243D47" w:rsidRDefault="00374D98" w:rsidP="00B67A46">
      <w:pPr>
        <w:jc w:val="both"/>
        <w:rPr>
          <w:rStyle w:val="bodycopy1"/>
          <w:rFonts w:ascii="Times New Roman" w:hAnsi="Times New Roman"/>
          <w:i/>
          <w:sz w:val="24"/>
          <w:szCs w:val="24"/>
        </w:rPr>
      </w:pPr>
    </w:p>
    <w:p w:rsidR="00A12944" w:rsidRPr="00243D47" w:rsidRDefault="00A12944" w:rsidP="00B67A46">
      <w:pPr>
        <w:jc w:val="both"/>
        <w:rPr>
          <w:rStyle w:val="bodycopy1"/>
          <w:rFonts w:ascii="Times New Roman" w:hAnsi="Times New Roman"/>
          <w:i/>
          <w:sz w:val="24"/>
          <w:szCs w:val="24"/>
        </w:rPr>
      </w:pPr>
      <w:r w:rsidRPr="00243D47">
        <w:rPr>
          <w:rStyle w:val="bodycopy1"/>
          <w:rFonts w:ascii="Times New Roman" w:hAnsi="Times New Roman"/>
          <w:i/>
          <w:sz w:val="24"/>
          <w:szCs w:val="24"/>
        </w:rPr>
        <w:t>The growth position of the less developed countries today is significantly different in many respects from that of the presently developed countries on the eve of their entry into modern economic growth.</w:t>
      </w:r>
    </w:p>
    <w:p w:rsidR="00A12944" w:rsidRPr="00243D47" w:rsidRDefault="008634D7" w:rsidP="00B67A46">
      <w:pPr>
        <w:ind w:left="2880" w:firstLine="720"/>
        <w:jc w:val="both"/>
        <w:rPr>
          <w:rStyle w:val="bodycopy1"/>
          <w:rFonts w:ascii="Times New Roman" w:hAnsi="Times New Roman"/>
          <w:sz w:val="24"/>
          <w:szCs w:val="24"/>
        </w:rPr>
      </w:pPr>
      <w:r w:rsidRPr="00243D47">
        <w:rPr>
          <w:rStyle w:val="bodycopy1"/>
          <w:rFonts w:ascii="Times New Roman" w:hAnsi="Times New Roman"/>
          <w:sz w:val="24"/>
          <w:szCs w:val="24"/>
        </w:rPr>
        <w:t xml:space="preserve">      </w:t>
      </w:r>
      <w:r w:rsidR="00374D98" w:rsidRPr="00243D47">
        <w:rPr>
          <w:rStyle w:val="bodycopy1"/>
          <w:rFonts w:ascii="Times New Roman" w:hAnsi="Times New Roman"/>
          <w:sz w:val="24"/>
          <w:szCs w:val="24"/>
        </w:rPr>
        <w:t xml:space="preserve">           </w:t>
      </w:r>
      <w:r w:rsidRPr="00243D47">
        <w:rPr>
          <w:rStyle w:val="bodycopy1"/>
          <w:rFonts w:ascii="Times New Roman" w:hAnsi="Times New Roman"/>
          <w:sz w:val="24"/>
          <w:szCs w:val="24"/>
        </w:rPr>
        <w:t xml:space="preserve"> </w:t>
      </w:r>
      <w:r w:rsidR="00B67A46">
        <w:rPr>
          <w:rStyle w:val="bodycopy1"/>
          <w:rFonts w:ascii="Times New Roman" w:hAnsi="Times New Roman"/>
          <w:sz w:val="24"/>
          <w:szCs w:val="24"/>
        </w:rPr>
        <w:t xml:space="preserve">    </w:t>
      </w:r>
      <w:r w:rsidRPr="00243D47">
        <w:rPr>
          <w:rStyle w:val="bodycopy1"/>
          <w:rFonts w:ascii="Times New Roman" w:hAnsi="Times New Roman"/>
          <w:sz w:val="24"/>
          <w:szCs w:val="24"/>
        </w:rPr>
        <w:t xml:space="preserve">- </w:t>
      </w:r>
      <w:r w:rsidR="00A12944" w:rsidRPr="00243D47">
        <w:rPr>
          <w:rStyle w:val="bodycopy1"/>
          <w:rFonts w:ascii="Times New Roman" w:hAnsi="Times New Roman"/>
          <w:sz w:val="24"/>
          <w:szCs w:val="24"/>
        </w:rPr>
        <w:t>Simon Kuznets, Nobel Laureate, Economics</w:t>
      </w:r>
    </w:p>
    <w:p w:rsidR="00467BA9" w:rsidRPr="00243D47" w:rsidRDefault="00467BA9" w:rsidP="00B67A46">
      <w:pPr>
        <w:ind w:left="2880" w:firstLine="720"/>
        <w:jc w:val="both"/>
        <w:rPr>
          <w:rStyle w:val="bodycopy1"/>
          <w:rFonts w:ascii="Times New Roman" w:hAnsi="Times New Roman"/>
          <w:sz w:val="24"/>
          <w:szCs w:val="24"/>
        </w:rPr>
      </w:pPr>
    </w:p>
    <w:p w:rsidR="00A12944" w:rsidRPr="00243D47" w:rsidRDefault="00A12944" w:rsidP="00B67A46">
      <w:pPr>
        <w:jc w:val="both"/>
        <w:rPr>
          <w:rStyle w:val="bodycopy1"/>
          <w:rFonts w:ascii="Times New Roman" w:hAnsi="Times New Roman"/>
          <w:sz w:val="24"/>
          <w:szCs w:val="24"/>
        </w:rPr>
      </w:pPr>
      <w:r w:rsidRPr="00243D47">
        <w:rPr>
          <w:rStyle w:val="bodycopy1"/>
          <w:rFonts w:ascii="Times New Roman" w:hAnsi="Times New Roman"/>
          <w:sz w:val="24"/>
          <w:szCs w:val="24"/>
        </w:rPr>
        <w:t xml:space="preserve">Professor Simon Kuznets has </w:t>
      </w:r>
      <w:r w:rsidR="00CE3B72" w:rsidRPr="00243D47">
        <w:rPr>
          <w:rStyle w:val="bodycopy1"/>
          <w:rFonts w:ascii="Times New Roman" w:hAnsi="Times New Roman"/>
          <w:sz w:val="24"/>
          <w:szCs w:val="24"/>
        </w:rPr>
        <w:t>cleared</w:t>
      </w:r>
      <w:r w:rsidRPr="00243D47">
        <w:rPr>
          <w:rStyle w:val="bodycopy1"/>
          <w:rFonts w:ascii="Times New Roman" w:hAnsi="Times New Roman"/>
          <w:sz w:val="24"/>
          <w:szCs w:val="24"/>
        </w:rPr>
        <w:t xml:space="preserve"> a country’s economic growth as a long-term rise in capacity to supply increasingly </w:t>
      </w:r>
      <w:r w:rsidR="00CE3B72" w:rsidRPr="00243D47">
        <w:rPr>
          <w:rStyle w:val="bodycopy1"/>
          <w:rFonts w:ascii="Times New Roman" w:hAnsi="Times New Roman"/>
          <w:sz w:val="24"/>
          <w:szCs w:val="24"/>
        </w:rPr>
        <w:t>various</w:t>
      </w:r>
      <w:r w:rsidRPr="00243D47">
        <w:rPr>
          <w:rStyle w:val="bodycopy1"/>
          <w:rFonts w:ascii="Times New Roman" w:hAnsi="Times New Roman"/>
          <w:sz w:val="24"/>
          <w:szCs w:val="24"/>
        </w:rPr>
        <w:t xml:space="preserve"> economics goods to its population, this growing capacity </w:t>
      </w:r>
      <w:r w:rsidR="00225115" w:rsidRPr="00243D47">
        <w:rPr>
          <w:rStyle w:val="bodycopy1"/>
          <w:rFonts w:ascii="Times New Roman" w:hAnsi="Times New Roman"/>
          <w:sz w:val="24"/>
          <w:szCs w:val="24"/>
        </w:rPr>
        <w:t>based on advancing technology and the institutional and ideological adjustments that it demands.</w:t>
      </w:r>
    </w:p>
    <w:p w:rsidR="009B47A5" w:rsidRDefault="00142E6D" w:rsidP="002E3A6C">
      <w:pPr>
        <w:ind w:firstLine="720"/>
        <w:jc w:val="both"/>
        <w:rPr>
          <w:bCs/>
        </w:rPr>
      </w:pPr>
      <w:r w:rsidRPr="00243D47">
        <w:rPr>
          <w:rStyle w:val="bodycopy1"/>
          <w:rFonts w:ascii="Times New Roman" w:hAnsi="Times New Roman"/>
          <w:sz w:val="24"/>
          <w:szCs w:val="24"/>
        </w:rPr>
        <w:t xml:space="preserve">Economic growth is important for society as it increases real income and consumption, both in absolute and per capita terms, and hence makes us materially better off. </w:t>
      </w:r>
      <w:r w:rsidR="007156F9">
        <w:rPr>
          <w:bCs/>
        </w:rPr>
        <w:t>Economic growth refers to</w:t>
      </w:r>
      <w:proofErr w:type="gramStart"/>
      <w:r w:rsidR="007156F9">
        <w:rPr>
          <w:bCs/>
        </w:rPr>
        <w:t>…..</w:t>
      </w:r>
      <w:proofErr w:type="gramEnd"/>
    </w:p>
    <w:p w:rsidR="007156F9" w:rsidRPr="00243D47" w:rsidRDefault="007156F9" w:rsidP="002E3A6C">
      <w:pPr>
        <w:ind w:firstLine="720"/>
        <w:jc w:val="both"/>
      </w:pPr>
    </w:p>
    <w:p w:rsidR="00036CE9" w:rsidRPr="00243D47" w:rsidRDefault="002628AD" w:rsidP="002E3A6C">
      <w:pPr>
        <w:pStyle w:val="ListParagraph"/>
        <w:numPr>
          <w:ilvl w:val="0"/>
          <w:numId w:val="8"/>
        </w:numPr>
        <w:ind w:left="567" w:hanging="567"/>
        <w:jc w:val="both"/>
        <w:rPr>
          <w:b/>
        </w:rPr>
      </w:pPr>
      <w:r w:rsidRPr="00243D47">
        <w:rPr>
          <w:b/>
        </w:rPr>
        <w:t>Frame</w:t>
      </w:r>
      <w:r w:rsidR="005002FB" w:rsidRPr="00243D47">
        <w:rPr>
          <w:b/>
        </w:rPr>
        <w:t xml:space="preserve">work </w:t>
      </w:r>
      <w:r w:rsidR="002E3A6C">
        <w:rPr>
          <w:b/>
        </w:rPr>
        <w:t>a</w:t>
      </w:r>
      <w:r w:rsidR="001B4C8F" w:rsidRPr="00243D47">
        <w:rPr>
          <w:b/>
        </w:rPr>
        <w:t>nd Empirical Studies</w:t>
      </w:r>
    </w:p>
    <w:p w:rsidR="009E2B69" w:rsidRPr="00243D47" w:rsidRDefault="009E2B69" w:rsidP="00B67A46">
      <w:pPr>
        <w:jc w:val="both"/>
        <w:rPr>
          <w:b/>
        </w:rPr>
      </w:pPr>
    </w:p>
    <w:p w:rsidR="00977F46" w:rsidRPr="00243D47" w:rsidRDefault="00977F46" w:rsidP="00B67A46">
      <w:pPr>
        <w:autoSpaceDE w:val="0"/>
        <w:autoSpaceDN w:val="0"/>
        <w:adjustRightInd w:val="0"/>
        <w:jc w:val="both"/>
      </w:pPr>
      <w:r w:rsidRPr="00243D47">
        <w:t xml:space="preserve">A framework for determining growth is briefly provided by </w:t>
      </w:r>
      <w:proofErr w:type="spellStart"/>
      <w:r w:rsidRPr="00243D47">
        <w:t>Barro</w:t>
      </w:r>
      <w:proofErr w:type="spellEnd"/>
      <w:r w:rsidRPr="00243D47">
        <w:t xml:space="preserve"> (1997). In this model, </w:t>
      </w:r>
    </w:p>
    <w:p w:rsidR="001B4C8F" w:rsidRPr="00243D47" w:rsidRDefault="001B4C8F" w:rsidP="00B67A46">
      <w:pPr>
        <w:autoSpaceDE w:val="0"/>
        <w:autoSpaceDN w:val="0"/>
        <w:adjustRightInd w:val="0"/>
        <w:jc w:val="both"/>
      </w:pPr>
    </w:p>
    <w:p w:rsidR="00977F46" w:rsidRPr="00243D47" w:rsidRDefault="00977F46" w:rsidP="00B67A46">
      <w:pPr>
        <w:autoSpaceDE w:val="0"/>
        <w:autoSpaceDN w:val="0"/>
        <w:adjustRightInd w:val="0"/>
        <w:ind w:left="2880" w:firstLine="720"/>
        <w:jc w:val="both"/>
        <w:rPr>
          <w:i/>
        </w:rPr>
      </w:pPr>
      <w:r w:rsidRPr="00243D47">
        <w:rPr>
          <w:i/>
        </w:rPr>
        <w:lastRenderedPageBreak/>
        <w:t>g = f (y, y*)</w:t>
      </w:r>
    </w:p>
    <w:p w:rsidR="002628AD" w:rsidRPr="00243D47" w:rsidRDefault="002628AD" w:rsidP="00B67A46">
      <w:pPr>
        <w:autoSpaceDE w:val="0"/>
        <w:autoSpaceDN w:val="0"/>
        <w:adjustRightInd w:val="0"/>
        <w:ind w:left="720" w:firstLine="720"/>
        <w:jc w:val="both"/>
        <w:rPr>
          <w:i/>
        </w:rPr>
      </w:pPr>
    </w:p>
    <w:p w:rsidR="00977F46" w:rsidRPr="00243D47" w:rsidRDefault="00977F46" w:rsidP="00B67A46">
      <w:pPr>
        <w:autoSpaceDE w:val="0"/>
        <w:autoSpaceDN w:val="0"/>
        <w:adjustRightInd w:val="0"/>
        <w:jc w:val="both"/>
      </w:pPr>
      <w:r w:rsidRPr="00243D47">
        <w:t xml:space="preserve">where </w:t>
      </w:r>
      <w:r w:rsidRPr="00243D47">
        <w:rPr>
          <w:i/>
        </w:rPr>
        <w:t>g</w:t>
      </w:r>
      <w:r w:rsidRPr="00243D47">
        <w:t xml:space="preserve"> is the growth rate of per capita output (e.g., Gross Domestic Product), </w:t>
      </w:r>
      <w:r w:rsidRPr="00243D47">
        <w:rPr>
          <w:i/>
        </w:rPr>
        <w:t>y</w:t>
      </w:r>
      <w:r w:rsidRPr="00243D47">
        <w:t xml:space="preserve"> is the current level of per capita output, and </w:t>
      </w:r>
      <w:r w:rsidRPr="00243D47">
        <w:rPr>
          <w:i/>
        </w:rPr>
        <w:t>y*</w:t>
      </w:r>
      <w:r w:rsidRPr="00243D47">
        <w:t xml:space="preserve"> is the steady-state level of per capita output. At the steady-state level, the level of output per worker still increases because of exogenous labor-augmenting technological innovations, although the output per effective labor will remain constant. </w:t>
      </w:r>
    </w:p>
    <w:p w:rsidR="00977F46" w:rsidRPr="00243D47" w:rsidRDefault="00977F46" w:rsidP="00B67A46">
      <w:pPr>
        <w:ind w:firstLine="720"/>
        <w:jc w:val="both"/>
      </w:pPr>
      <w:r w:rsidRPr="00243D47">
        <w:t>In addition to economic and demographic factors, the output at the steady-state</w:t>
      </w:r>
      <w:proofErr w:type="gramStart"/>
      <w:r w:rsidR="007156F9">
        <w:t>…..</w:t>
      </w:r>
      <w:proofErr w:type="gramEnd"/>
    </w:p>
    <w:p w:rsidR="00C93E99" w:rsidRPr="00243D47" w:rsidRDefault="00C93E99" w:rsidP="00B67A46">
      <w:pPr>
        <w:jc w:val="both"/>
      </w:pPr>
    </w:p>
    <w:p w:rsidR="001F0D3B" w:rsidRPr="00243D47" w:rsidRDefault="001F0D3B" w:rsidP="00B60D49">
      <w:pPr>
        <w:pStyle w:val="ListParagraph"/>
        <w:numPr>
          <w:ilvl w:val="0"/>
          <w:numId w:val="8"/>
        </w:numPr>
        <w:ind w:left="567" w:hanging="567"/>
        <w:jc w:val="both"/>
        <w:rPr>
          <w:b/>
        </w:rPr>
      </w:pPr>
      <w:r w:rsidRPr="00243D47">
        <w:rPr>
          <w:b/>
        </w:rPr>
        <w:t>Methodology and Data</w:t>
      </w:r>
    </w:p>
    <w:p w:rsidR="00D7398D" w:rsidRPr="00243D47" w:rsidRDefault="00D7398D" w:rsidP="00B67A46">
      <w:pPr>
        <w:jc w:val="both"/>
        <w:rPr>
          <w:b/>
        </w:rPr>
      </w:pPr>
    </w:p>
    <w:p w:rsidR="002628AD" w:rsidRPr="00243D47" w:rsidRDefault="00765C9F" w:rsidP="00B67A46">
      <w:pPr>
        <w:autoSpaceDE w:val="0"/>
        <w:autoSpaceDN w:val="0"/>
        <w:adjustRightInd w:val="0"/>
        <w:jc w:val="both"/>
      </w:pPr>
      <w:r w:rsidRPr="00243D47">
        <w:t>Based on earlier work, the empirical model is specified as follows:</w:t>
      </w:r>
    </w:p>
    <w:p w:rsidR="009800DD" w:rsidRPr="00243D47" w:rsidRDefault="009800DD" w:rsidP="00B67A46">
      <w:pPr>
        <w:autoSpaceDE w:val="0"/>
        <w:autoSpaceDN w:val="0"/>
        <w:adjustRightInd w:val="0"/>
        <w:jc w:val="both"/>
      </w:pPr>
    </w:p>
    <w:p w:rsidR="00765C9F" w:rsidRPr="00243D47" w:rsidRDefault="00765C9F" w:rsidP="00B67A46">
      <w:pPr>
        <w:autoSpaceDE w:val="0"/>
        <w:autoSpaceDN w:val="0"/>
        <w:adjustRightInd w:val="0"/>
        <w:jc w:val="both"/>
      </w:pPr>
      <w:r w:rsidRPr="00243D47">
        <w:t xml:space="preserve">ln </w:t>
      </w:r>
      <w:proofErr w:type="spellStart"/>
      <w:r w:rsidRPr="00243D47">
        <w:rPr>
          <w:i/>
        </w:rPr>
        <w:t>GDP</w:t>
      </w:r>
      <w:r w:rsidRPr="00243D47">
        <w:rPr>
          <w:vertAlign w:val="subscript"/>
        </w:rPr>
        <w:t>t</w:t>
      </w:r>
      <w:proofErr w:type="spellEnd"/>
      <w:r w:rsidRPr="00243D47">
        <w:t xml:space="preserve"> = </w:t>
      </w:r>
      <w:r w:rsidRPr="00243D47">
        <w:rPr>
          <w:i/>
        </w:rPr>
        <w:t>β</w:t>
      </w:r>
      <w:r w:rsidRPr="00243D47">
        <w:rPr>
          <w:vertAlign w:val="subscript"/>
        </w:rPr>
        <w:t>0</w:t>
      </w:r>
      <w:r w:rsidRPr="00243D47">
        <w:t xml:space="preserve"> + </w:t>
      </w:r>
      <w:r w:rsidRPr="00243D47">
        <w:rPr>
          <w:i/>
        </w:rPr>
        <w:t>β</w:t>
      </w:r>
      <w:r w:rsidRPr="00243D47">
        <w:rPr>
          <w:vertAlign w:val="subscript"/>
        </w:rPr>
        <w:t>1</w:t>
      </w:r>
      <w:r w:rsidRPr="00243D47">
        <w:t xml:space="preserve"> ln </w:t>
      </w:r>
      <w:proofErr w:type="spellStart"/>
      <w:r w:rsidR="00B60D49">
        <w:rPr>
          <w:i/>
        </w:rPr>
        <w:t>K_FORMA</w:t>
      </w:r>
      <w:r w:rsidRPr="00243D47">
        <w:rPr>
          <w:vertAlign w:val="subscript"/>
        </w:rPr>
        <w:t>t</w:t>
      </w:r>
      <w:proofErr w:type="spellEnd"/>
      <w:r w:rsidRPr="00243D47">
        <w:t xml:space="preserve"> + </w:t>
      </w:r>
      <w:r w:rsidRPr="00243D47">
        <w:rPr>
          <w:i/>
        </w:rPr>
        <w:t>β</w:t>
      </w:r>
      <w:r w:rsidRPr="00243D47">
        <w:rPr>
          <w:vertAlign w:val="subscript"/>
        </w:rPr>
        <w:t>2</w:t>
      </w:r>
      <w:r w:rsidRPr="00243D47">
        <w:t xml:space="preserve"> ln </w:t>
      </w:r>
      <w:proofErr w:type="spellStart"/>
      <w:r w:rsidR="00B60D49">
        <w:rPr>
          <w:i/>
        </w:rPr>
        <w:t>T_TR</w:t>
      </w:r>
      <w:r w:rsidRPr="00243D47">
        <w:rPr>
          <w:i/>
        </w:rPr>
        <w:t>D</w:t>
      </w:r>
      <w:r w:rsidRPr="00243D47">
        <w:rPr>
          <w:vertAlign w:val="subscript"/>
        </w:rPr>
        <w:t>t</w:t>
      </w:r>
      <w:proofErr w:type="spellEnd"/>
      <w:r w:rsidRPr="00243D47">
        <w:t xml:space="preserve"> + </w:t>
      </w:r>
      <w:r w:rsidRPr="00243D47">
        <w:rPr>
          <w:i/>
        </w:rPr>
        <w:t>β</w:t>
      </w:r>
      <w:r w:rsidR="00F6369B" w:rsidRPr="00243D47">
        <w:rPr>
          <w:vertAlign w:val="subscript"/>
        </w:rPr>
        <w:t>3</w:t>
      </w:r>
      <w:r w:rsidR="00F6369B" w:rsidRPr="00243D47">
        <w:t xml:space="preserve"> ln </w:t>
      </w:r>
      <w:proofErr w:type="spellStart"/>
      <w:r w:rsidR="00B60D49">
        <w:rPr>
          <w:i/>
        </w:rPr>
        <w:t>F</w:t>
      </w:r>
      <w:r w:rsidR="00F6369B" w:rsidRPr="00243D47">
        <w:rPr>
          <w:i/>
        </w:rPr>
        <w:t>_DEV</w:t>
      </w:r>
      <w:r w:rsidR="00F6369B" w:rsidRPr="00243D47">
        <w:rPr>
          <w:vertAlign w:val="subscript"/>
        </w:rPr>
        <w:t>t</w:t>
      </w:r>
      <w:proofErr w:type="spellEnd"/>
      <w:r w:rsidR="00F6369B" w:rsidRPr="00243D47">
        <w:t xml:space="preserve"> + </w:t>
      </w:r>
      <w:r w:rsidR="00265CDB" w:rsidRPr="00243D47">
        <w:rPr>
          <w:i/>
        </w:rPr>
        <w:t>β</w:t>
      </w:r>
      <w:r w:rsidR="00265CDB" w:rsidRPr="00243D47">
        <w:rPr>
          <w:vertAlign w:val="subscript"/>
        </w:rPr>
        <w:t>4</w:t>
      </w:r>
      <w:r w:rsidR="00F307C1" w:rsidRPr="00243D47">
        <w:t xml:space="preserve"> </w:t>
      </w:r>
      <w:proofErr w:type="spellStart"/>
      <w:r w:rsidR="00B60D49">
        <w:rPr>
          <w:i/>
        </w:rPr>
        <w:t>INFLA</w:t>
      </w:r>
      <w:r w:rsidR="00F6369B" w:rsidRPr="00243D47">
        <w:rPr>
          <w:vertAlign w:val="subscript"/>
        </w:rPr>
        <w:t>t</w:t>
      </w:r>
      <w:proofErr w:type="spellEnd"/>
      <w:r w:rsidR="00F6369B" w:rsidRPr="00243D47">
        <w:t xml:space="preserve"> + </w:t>
      </w:r>
      <w:proofErr w:type="spellStart"/>
      <w:r w:rsidR="00F6369B" w:rsidRPr="00243D47">
        <w:rPr>
          <w:i/>
        </w:rPr>
        <w:t>u</w:t>
      </w:r>
      <w:r w:rsidR="00F6369B" w:rsidRPr="00243D47">
        <w:rPr>
          <w:vertAlign w:val="subscript"/>
        </w:rPr>
        <w:t>t</w:t>
      </w:r>
      <w:proofErr w:type="spellEnd"/>
    </w:p>
    <w:p w:rsidR="00867AFA" w:rsidRPr="00243D47" w:rsidRDefault="00867AFA" w:rsidP="00B67A46">
      <w:pPr>
        <w:autoSpaceDE w:val="0"/>
        <w:autoSpaceDN w:val="0"/>
        <w:adjustRightInd w:val="0"/>
        <w:jc w:val="both"/>
      </w:pPr>
    </w:p>
    <w:p w:rsidR="00D312FA" w:rsidRPr="00243D47" w:rsidRDefault="00265CDB" w:rsidP="00B67A46">
      <w:pPr>
        <w:autoSpaceDE w:val="0"/>
        <w:autoSpaceDN w:val="0"/>
        <w:adjustRightInd w:val="0"/>
        <w:jc w:val="both"/>
      </w:pPr>
      <w:r w:rsidRPr="00243D47">
        <w:t xml:space="preserve">where </w:t>
      </w:r>
      <w:proofErr w:type="spellStart"/>
      <w:r w:rsidRPr="00243D47">
        <w:t>GDP</w:t>
      </w:r>
      <w:r w:rsidRPr="00243D47">
        <w:rPr>
          <w:vertAlign w:val="subscript"/>
        </w:rPr>
        <w:t>t</w:t>
      </w:r>
      <w:proofErr w:type="spellEnd"/>
      <w:r w:rsidRPr="00243D47">
        <w:t xml:space="preserve"> refers to real Gross Domestic Product, </w:t>
      </w:r>
      <w:proofErr w:type="spellStart"/>
      <w:r w:rsidRPr="00243D47">
        <w:t>K_FORMATION</w:t>
      </w:r>
      <w:r w:rsidRPr="00243D47">
        <w:rPr>
          <w:vertAlign w:val="subscript"/>
        </w:rPr>
        <w:t>t</w:t>
      </w:r>
      <w:proofErr w:type="spellEnd"/>
      <w:r w:rsidRPr="00243D47">
        <w:t xml:space="preserve"> refers to gross fixed capital formation, total trade (</w:t>
      </w:r>
      <w:proofErr w:type="spellStart"/>
      <w:r w:rsidRPr="00243D47">
        <w:t>T_TRADE</w:t>
      </w:r>
      <w:r w:rsidRPr="00243D47">
        <w:rPr>
          <w:vertAlign w:val="subscript"/>
        </w:rPr>
        <w:t>t</w:t>
      </w:r>
      <w:proofErr w:type="spellEnd"/>
      <w:r w:rsidRPr="00243D47">
        <w:t>) is defined as the sum of exports</w:t>
      </w:r>
      <w:r w:rsidR="001B2B5B" w:rsidRPr="00243D47">
        <w:t xml:space="preserve"> </w:t>
      </w:r>
      <w:r w:rsidRPr="00243D47">
        <w:t xml:space="preserve">and imports of goods and services, </w:t>
      </w:r>
      <w:r w:rsidR="001B2B5B" w:rsidRPr="00243D47">
        <w:t>financial development (</w:t>
      </w:r>
      <w:proofErr w:type="spellStart"/>
      <w:r w:rsidRPr="00243D47">
        <w:t>FIN_DEV</w:t>
      </w:r>
      <w:r w:rsidRPr="00243D47">
        <w:rPr>
          <w:vertAlign w:val="subscript"/>
        </w:rPr>
        <w:t>t</w:t>
      </w:r>
      <w:proofErr w:type="spellEnd"/>
      <w:r w:rsidR="001B2B5B" w:rsidRPr="00243D47">
        <w:t>) is measured by claims on private sector divided by real GDP</w:t>
      </w:r>
      <w:r w:rsidRPr="00243D47">
        <w:t xml:space="preserve">, </w:t>
      </w:r>
      <w:proofErr w:type="spellStart"/>
      <w:r w:rsidRPr="00243D47">
        <w:t>INFLATION</w:t>
      </w:r>
      <w:r w:rsidRPr="00243D47">
        <w:rPr>
          <w:vertAlign w:val="subscript"/>
        </w:rPr>
        <w:t>t</w:t>
      </w:r>
      <w:proofErr w:type="spellEnd"/>
      <w:r w:rsidR="001B2B5B" w:rsidRPr="00243D47">
        <w:t xml:space="preserve"> refers to inflation</w:t>
      </w:r>
      <w:r w:rsidR="004E711A" w:rsidRPr="00243D47">
        <w:t xml:space="preserve">, and </w:t>
      </w:r>
      <w:r w:rsidR="004E711A" w:rsidRPr="00243D47">
        <w:rPr>
          <w:i/>
        </w:rPr>
        <w:t>u</w:t>
      </w:r>
      <w:r w:rsidR="004E711A" w:rsidRPr="00243D47">
        <w:t>, the error term</w:t>
      </w:r>
      <w:r w:rsidR="001B2B5B" w:rsidRPr="00243D47">
        <w:t>.</w:t>
      </w:r>
      <w:r w:rsidR="00E53302" w:rsidRPr="00243D47">
        <w:t xml:space="preserve"> </w:t>
      </w:r>
      <w:r w:rsidR="00D312FA" w:rsidRPr="00243D47">
        <w:t xml:space="preserve">All variables are used in natural logs except inflation because that data in percentage and expressed in real terms. </w:t>
      </w:r>
    </w:p>
    <w:p w:rsidR="00D75A78" w:rsidRPr="00243D47" w:rsidRDefault="002F4324" w:rsidP="00B67A46">
      <w:pPr>
        <w:autoSpaceDE w:val="0"/>
        <w:autoSpaceDN w:val="0"/>
        <w:adjustRightInd w:val="0"/>
        <w:ind w:firstLine="720"/>
        <w:jc w:val="both"/>
      </w:pPr>
      <w:r w:rsidRPr="00243D47">
        <w:t>This paper using quarterly time series data for the period 1970–2007, included 151 obse</w:t>
      </w:r>
      <w:r w:rsidR="007156F9">
        <w:t>rvations. These data found from</w:t>
      </w:r>
      <w:proofErr w:type="gramStart"/>
      <w:r w:rsidR="007156F9">
        <w:t>…..</w:t>
      </w:r>
      <w:proofErr w:type="gramEnd"/>
    </w:p>
    <w:p w:rsidR="00C52A89" w:rsidRPr="00243D47" w:rsidRDefault="00C52A89" w:rsidP="00B67A46">
      <w:pPr>
        <w:jc w:val="both"/>
        <w:rPr>
          <w:b/>
        </w:rPr>
      </w:pPr>
    </w:p>
    <w:p w:rsidR="001F0D3B" w:rsidRPr="00243D47" w:rsidRDefault="001F0D3B" w:rsidP="00AF50A9">
      <w:pPr>
        <w:pStyle w:val="ListParagraph"/>
        <w:numPr>
          <w:ilvl w:val="0"/>
          <w:numId w:val="8"/>
        </w:numPr>
        <w:ind w:left="567" w:hanging="567"/>
        <w:jc w:val="both"/>
        <w:rPr>
          <w:b/>
        </w:rPr>
      </w:pPr>
      <w:r w:rsidRPr="00243D47">
        <w:rPr>
          <w:b/>
        </w:rPr>
        <w:t>Discussion on Empirical Results</w:t>
      </w:r>
    </w:p>
    <w:p w:rsidR="00AC7F9D" w:rsidRPr="00243D47" w:rsidRDefault="00AC7F9D" w:rsidP="00B67A46">
      <w:pPr>
        <w:jc w:val="both"/>
        <w:rPr>
          <w:b/>
        </w:rPr>
      </w:pPr>
    </w:p>
    <w:p w:rsidR="00D444FC" w:rsidRPr="00243D47" w:rsidRDefault="009800DD" w:rsidP="00B67A46">
      <w:pPr>
        <w:jc w:val="both"/>
      </w:pPr>
      <w:r w:rsidRPr="00243D47">
        <w:t>Table 1 report statistical results using ordinary least square</w:t>
      </w:r>
      <w:r w:rsidR="00EA24BA" w:rsidRPr="00243D47">
        <w:t xml:space="preserve"> (OLS) estimation in </w:t>
      </w:r>
      <w:r w:rsidR="00B60D49">
        <w:t>Turkey</w:t>
      </w:r>
      <w:r w:rsidR="00EA24BA" w:rsidRPr="00243D47">
        <w:t>.</w:t>
      </w:r>
      <w:r w:rsidR="00AB73D2" w:rsidRPr="00243D47">
        <w:t xml:space="preserve"> </w:t>
      </w:r>
      <w:r w:rsidR="00737614" w:rsidRPr="00243D47">
        <w:t xml:space="preserve">For the first OLS in Column 1, all the variables are individually significant at 1% level of significance except </w:t>
      </w:r>
      <w:r w:rsidR="007B4089" w:rsidRPr="00243D47">
        <w:t>financial development</w:t>
      </w:r>
      <w:r w:rsidR="00737614" w:rsidRPr="00243D47">
        <w:t xml:space="preserve">. </w:t>
      </w:r>
    </w:p>
    <w:p w:rsidR="00E374BD" w:rsidRPr="00243D47" w:rsidRDefault="00E374BD" w:rsidP="00B67A46">
      <w:pPr>
        <w:ind w:firstLine="720"/>
        <w:jc w:val="both"/>
      </w:pPr>
      <w:r w:rsidRPr="00243D47">
        <w:t>For the second OLS in Column 2, we used Cochrane-</w:t>
      </w:r>
      <w:proofErr w:type="spellStart"/>
      <w:r w:rsidRPr="00243D47">
        <w:t>Orcutt</w:t>
      </w:r>
      <w:proofErr w:type="spellEnd"/>
      <w:r w:rsidRPr="00243D47">
        <w:t xml:space="preserve"> iterative procedure (COIP) to estimate </w:t>
      </w:r>
      <w:r w:rsidRPr="00243D47">
        <w:rPr>
          <w:i/>
        </w:rPr>
        <w:t xml:space="preserve">ρ </w:t>
      </w:r>
      <w:r w:rsidRPr="00243D47">
        <w:t xml:space="preserve">for correcting autocorrelation. From the first round result COIP (OLS*), Durbin-Watson </w:t>
      </w:r>
      <w:r w:rsidRPr="00243D47">
        <w:rPr>
          <w:i/>
        </w:rPr>
        <w:t>d</w:t>
      </w:r>
      <w:r w:rsidRPr="00243D47">
        <w:t xml:space="preserve"> test shows that the autocorrelation still </w:t>
      </w:r>
      <w:r w:rsidR="002E3A6C" w:rsidRPr="00243D47">
        <w:t>exists</w:t>
      </w:r>
      <w:r w:rsidRPr="00243D47">
        <w:t>.</w:t>
      </w:r>
    </w:p>
    <w:p w:rsidR="00737614" w:rsidRPr="00243D47" w:rsidRDefault="00737614" w:rsidP="00B67A46">
      <w:pPr>
        <w:autoSpaceDE w:val="0"/>
        <w:autoSpaceDN w:val="0"/>
        <w:adjustRightInd w:val="0"/>
        <w:jc w:val="both"/>
      </w:pPr>
    </w:p>
    <w:p w:rsidR="00C97B22" w:rsidRPr="002E3A6C" w:rsidRDefault="00C97B22" w:rsidP="002E3A6C">
      <w:pPr>
        <w:jc w:val="center"/>
        <w:rPr>
          <w:b/>
        </w:rPr>
      </w:pPr>
      <w:r w:rsidRPr="002E3A6C">
        <w:rPr>
          <w:b/>
        </w:rPr>
        <w:t xml:space="preserve">Table 1: Estimates for the Growth equation in </w:t>
      </w:r>
      <w:r w:rsidR="00B60D49">
        <w:rPr>
          <w:b/>
        </w:rPr>
        <w:t>Turkey</w:t>
      </w:r>
    </w:p>
    <w:tbl>
      <w:tblPr>
        <w:tblStyle w:val="TableGrid"/>
        <w:tblW w:w="8613" w:type="dxa"/>
        <w:jc w:val="center"/>
        <w:tblLook w:val="01E0" w:firstRow="1" w:lastRow="1" w:firstColumn="1" w:lastColumn="1" w:noHBand="0" w:noVBand="0"/>
      </w:tblPr>
      <w:tblGrid>
        <w:gridCol w:w="1612"/>
        <w:gridCol w:w="2268"/>
        <w:gridCol w:w="2324"/>
        <w:gridCol w:w="2409"/>
      </w:tblGrid>
      <w:tr w:rsidR="00B21EBC" w:rsidRPr="00243D47" w:rsidTr="002E3A6C">
        <w:trPr>
          <w:jc w:val="center"/>
        </w:trPr>
        <w:tc>
          <w:tcPr>
            <w:tcW w:w="1612" w:type="dxa"/>
          </w:tcPr>
          <w:p w:rsidR="00C97B22" w:rsidRPr="00243D47" w:rsidRDefault="00C97B22" w:rsidP="002E3A6C">
            <w:pPr>
              <w:jc w:val="center"/>
            </w:pPr>
            <w:r w:rsidRPr="00243D47">
              <w:t>Variables</w:t>
            </w:r>
          </w:p>
        </w:tc>
        <w:tc>
          <w:tcPr>
            <w:tcW w:w="2268" w:type="dxa"/>
          </w:tcPr>
          <w:p w:rsidR="00C97B22" w:rsidRPr="00243D47" w:rsidRDefault="00C97B22" w:rsidP="002E3A6C">
            <w:pPr>
              <w:jc w:val="center"/>
            </w:pPr>
            <w:r w:rsidRPr="00243D47">
              <w:t>OLS</w:t>
            </w:r>
          </w:p>
        </w:tc>
        <w:tc>
          <w:tcPr>
            <w:tcW w:w="2324" w:type="dxa"/>
          </w:tcPr>
          <w:p w:rsidR="00C97B22" w:rsidRPr="00243D47" w:rsidRDefault="00C97B22" w:rsidP="002E3A6C">
            <w:pPr>
              <w:jc w:val="center"/>
              <w:rPr>
                <w:b/>
              </w:rPr>
            </w:pPr>
            <w:r w:rsidRPr="00243D47">
              <w:t>OLS</w:t>
            </w:r>
            <w:r w:rsidR="00066194" w:rsidRPr="00243D47">
              <w:t>*</w:t>
            </w:r>
          </w:p>
        </w:tc>
        <w:tc>
          <w:tcPr>
            <w:tcW w:w="2409" w:type="dxa"/>
          </w:tcPr>
          <w:p w:rsidR="00C97B22" w:rsidRPr="00243D47" w:rsidRDefault="00C97B22" w:rsidP="002E3A6C">
            <w:pPr>
              <w:jc w:val="center"/>
              <w:rPr>
                <w:b/>
              </w:rPr>
            </w:pPr>
            <w:r w:rsidRPr="00243D47">
              <w:t>OLS</w:t>
            </w:r>
            <w:r w:rsidR="00066194" w:rsidRPr="00243D47">
              <w:t>**</w:t>
            </w:r>
          </w:p>
        </w:tc>
      </w:tr>
      <w:tr w:rsidR="00B21EBC" w:rsidRPr="00243D47" w:rsidTr="002E3A6C">
        <w:trPr>
          <w:jc w:val="center"/>
        </w:trPr>
        <w:tc>
          <w:tcPr>
            <w:tcW w:w="1612" w:type="dxa"/>
          </w:tcPr>
          <w:p w:rsidR="00C97B22" w:rsidRPr="00243D47" w:rsidRDefault="004D3BCF" w:rsidP="00B67A46">
            <w:pPr>
              <w:jc w:val="both"/>
            </w:pPr>
            <w:r w:rsidRPr="00243D47">
              <w:t>Intercept</w:t>
            </w:r>
          </w:p>
          <w:p w:rsidR="004D3BCF" w:rsidRPr="00243D47" w:rsidRDefault="002E3A6C" w:rsidP="00B67A46">
            <w:pPr>
              <w:jc w:val="both"/>
            </w:pPr>
            <w:r>
              <w:t xml:space="preserve">ln </w:t>
            </w:r>
            <w:proofErr w:type="spellStart"/>
            <w:r>
              <w:t>K_FORM</w:t>
            </w:r>
            <w:r w:rsidR="00320900" w:rsidRPr="00243D47">
              <w:rPr>
                <w:vertAlign w:val="subscript"/>
              </w:rPr>
              <w:t>t</w:t>
            </w:r>
            <w:proofErr w:type="spellEnd"/>
          </w:p>
          <w:p w:rsidR="004D3BCF" w:rsidRPr="00243D47" w:rsidRDefault="00320900" w:rsidP="00B67A46">
            <w:pPr>
              <w:jc w:val="both"/>
            </w:pPr>
            <w:r w:rsidRPr="00243D47">
              <w:t xml:space="preserve">ln </w:t>
            </w:r>
            <w:proofErr w:type="spellStart"/>
            <w:r w:rsidR="002E3A6C">
              <w:t>T_TRD</w:t>
            </w:r>
            <w:r w:rsidRPr="00243D47">
              <w:rPr>
                <w:vertAlign w:val="subscript"/>
              </w:rPr>
              <w:t>t</w:t>
            </w:r>
            <w:proofErr w:type="spellEnd"/>
          </w:p>
          <w:p w:rsidR="004D3BCF" w:rsidRPr="00243D47" w:rsidRDefault="00320900" w:rsidP="00B67A46">
            <w:pPr>
              <w:jc w:val="both"/>
            </w:pPr>
            <w:r w:rsidRPr="00243D47">
              <w:t xml:space="preserve">ln </w:t>
            </w:r>
            <w:proofErr w:type="spellStart"/>
            <w:r w:rsidR="002E3A6C">
              <w:t>F</w:t>
            </w:r>
            <w:r w:rsidR="004D3BCF" w:rsidRPr="00243D47">
              <w:t>_DEV</w:t>
            </w:r>
            <w:r w:rsidRPr="00243D47">
              <w:rPr>
                <w:vertAlign w:val="subscript"/>
              </w:rPr>
              <w:t>t</w:t>
            </w:r>
            <w:proofErr w:type="spellEnd"/>
          </w:p>
          <w:p w:rsidR="004D3BCF" w:rsidRPr="00243D47" w:rsidRDefault="00320900" w:rsidP="00B67A46">
            <w:pPr>
              <w:jc w:val="both"/>
            </w:pPr>
            <w:r w:rsidRPr="00243D47">
              <w:t xml:space="preserve">ln </w:t>
            </w:r>
            <w:proofErr w:type="spellStart"/>
            <w:r w:rsidR="002E3A6C">
              <w:t>INFLA</w:t>
            </w:r>
            <w:r w:rsidRPr="00243D47">
              <w:rPr>
                <w:vertAlign w:val="subscript"/>
              </w:rPr>
              <w:t>t</w:t>
            </w:r>
            <w:proofErr w:type="spellEnd"/>
          </w:p>
          <w:p w:rsidR="004D3BCF" w:rsidRPr="00243D47" w:rsidRDefault="004D3BCF" w:rsidP="00B67A46">
            <w:pPr>
              <w:jc w:val="both"/>
            </w:pPr>
            <w:r w:rsidRPr="00243D47">
              <w:rPr>
                <w:i/>
              </w:rPr>
              <w:t>R</w:t>
            </w:r>
            <w:r w:rsidRPr="00243D47">
              <w:rPr>
                <w:vertAlign w:val="superscript"/>
              </w:rPr>
              <w:t>2</w:t>
            </w:r>
          </w:p>
          <w:p w:rsidR="004D3BCF" w:rsidRPr="00243D47" w:rsidRDefault="004D3BCF" w:rsidP="00B67A46">
            <w:pPr>
              <w:jc w:val="both"/>
              <w:rPr>
                <w:vertAlign w:val="superscript"/>
              </w:rPr>
            </w:pPr>
            <w:proofErr w:type="spellStart"/>
            <w:r w:rsidRPr="00243D47">
              <w:t>A</w:t>
            </w:r>
            <w:r w:rsidR="00320900" w:rsidRPr="00243D47">
              <w:t>dj</w:t>
            </w:r>
            <w:proofErr w:type="spellEnd"/>
            <w:r w:rsidRPr="00243D47">
              <w:t xml:space="preserve"> </w:t>
            </w:r>
            <w:r w:rsidRPr="00243D47">
              <w:rPr>
                <w:i/>
              </w:rPr>
              <w:t>R</w:t>
            </w:r>
            <w:r w:rsidR="00320900" w:rsidRPr="00243D47">
              <w:rPr>
                <w:vertAlign w:val="superscript"/>
              </w:rPr>
              <w:t>2</w:t>
            </w:r>
          </w:p>
          <w:p w:rsidR="007B4089" w:rsidRPr="00243D47" w:rsidRDefault="007B4089" w:rsidP="00B67A46">
            <w:pPr>
              <w:jc w:val="both"/>
              <w:rPr>
                <w:i/>
              </w:rPr>
            </w:pPr>
            <w:r w:rsidRPr="00243D47">
              <w:rPr>
                <w:i/>
              </w:rPr>
              <w:t>σ</w:t>
            </w:r>
          </w:p>
          <w:p w:rsidR="004D3BCF" w:rsidRPr="00243D47" w:rsidRDefault="004D3BCF" w:rsidP="00B67A46">
            <w:pPr>
              <w:jc w:val="both"/>
            </w:pPr>
            <w:r w:rsidRPr="00243D47">
              <w:rPr>
                <w:i/>
              </w:rPr>
              <w:t>DW</w:t>
            </w:r>
            <w:r w:rsidRPr="00243D47">
              <w:t xml:space="preserve"> S</w:t>
            </w:r>
            <w:r w:rsidR="00320900" w:rsidRPr="00243D47">
              <w:t>tatistic</w:t>
            </w:r>
          </w:p>
          <w:p w:rsidR="00320900" w:rsidRPr="00243D47" w:rsidRDefault="00320900" w:rsidP="00B67A46">
            <w:pPr>
              <w:jc w:val="both"/>
            </w:pPr>
            <w:r w:rsidRPr="00243D47">
              <w:t>Obs</w:t>
            </w:r>
            <w:r w:rsidR="00066BA8" w:rsidRPr="00243D47">
              <w:t>.</w:t>
            </w:r>
          </w:p>
        </w:tc>
        <w:tc>
          <w:tcPr>
            <w:tcW w:w="2268" w:type="dxa"/>
          </w:tcPr>
          <w:p w:rsidR="00C97B22" w:rsidRPr="00243D47" w:rsidRDefault="004230AC" w:rsidP="00B67A46">
            <w:pPr>
              <w:jc w:val="both"/>
            </w:pPr>
            <w:bookmarkStart w:id="2" w:name="OLE_LINK1"/>
            <w:r w:rsidRPr="00243D47">
              <w:t>1.4881 (</w:t>
            </w:r>
            <w:proofErr w:type="gramStart"/>
            <w:r w:rsidRPr="00243D47">
              <w:t>18.8476)*</w:t>
            </w:r>
            <w:proofErr w:type="gramEnd"/>
            <w:r w:rsidRPr="00243D47">
              <w:t>**</w:t>
            </w:r>
            <w:bookmarkEnd w:id="2"/>
          </w:p>
          <w:p w:rsidR="00153013" w:rsidRPr="00243D47" w:rsidRDefault="00153013" w:rsidP="00B67A46">
            <w:pPr>
              <w:jc w:val="both"/>
            </w:pPr>
            <w:r w:rsidRPr="00243D47">
              <w:t>0.5167 (</w:t>
            </w:r>
            <w:proofErr w:type="gramStart"/>
            <w:r w:rsidRPr="00243D47">
              <w:t>13.4733)*</w:t>
            </w:r>
            <w:proofErr w:type="gramEnd"/>
            <w:r w:rsidRPr="00243D47">
              <w:t>**</w:t>
            </w:r>
          </w:p>
          <w:p w:rsidR="00153013" w:rsidRPr="00243D47" w:rsidRDefault="00153013" w:rsidP="00B67A46">
            <w:pPr>
              <w:jc w:val="both"/>
            </w:pPr>
            <w:r w:rsidRPr="00243D47">
              <w:t>0.4236 (</w:t>
            </w:r>
            <w:proofErr w:type="gramStart"/>
            <w:r w:rsidRPr="00243D47">
              <w:t>10.1569)*</w:t>
            </w:r>
            <w:proofErr w:type="gramEnd"/>
            <w:r w:rsidRPr="00243D47">
              <w:t>**</w:t>
            </w:r>
          </w:p>
          <w:p w:rsidR="00153013" w:rsidRPr="00243D47" w:rsidRDefault="00153013" w:rsidP="00B67A46">
            <w:pPr>
              <w:jc w:val="both"/>
            </w:pPr>
            <w:r w:rsidRPr="00243D47">
              <w:t>-0.0359 (-0.8275)</w:t>
            </w:r>
          </w:p>
          <w:p w:rsidR="00153013" w:rsidRPr="00243D47" w:rsidRDefault="002E3A6C" w:rsidP="00B67A46">
            <w:pPr>
              <w:jc w:val="both"/>
            </w:pPr>
            <w:r>
              <w:t>-0.0062 (-4.</w:t>
            </w:r>
            <w:proofErr w:type="gramStart"/>
            <w:r>
              <w:t>3119)*</w:t>
            </w:r>
            <w:proofErr w:type="gramEnd"/>
            <w:r>
              <w:t>*</w:t>
            </w:r>
          </w:p>
          <w:p w:rsidR="00153013" w:rsidRPr="00243D47" w:rsidRDefault="00153013" w:rsidP="00B67A46">
            <w:pPr>
              <w:jc w:val="both"/>
            </w:pPr>
            <w:r w:rsidRPr="00243D47">
              <w:t>0.9969</w:t>
            </w:r>
          </w:p>
          <w:p w:rsidR="00153013" w:rsidRPr="00243D47" w:rsidRDefault="00153013" w:rsidP="00B67A46">
            <w:pPr>
              <w:jc w:val="both"/>
            </w:pPr>
            <w:r w:rsidRPr="00243D47">
              <w:t>0.9968</w:t>
            </w:r>
          </w:p>
          <w:p w:rsidR="007B4089" w:rsidRPr="00243D47" w:rsidRDefault="007B4089" w:rsidP="00B67A46">
            <w:pPr>
              <w:jc w:val="both"/>
            </w:pPr>
            <w:r w:rsidRPr="00243D47">
              <w:t>0.1001</w:t>
            </w:r>
          </w:p>
          <w:p w:rsidR="00153013" w:rsidRPr="00243D47" w:rsidRDefault="00153013" w:rsidP="00B67A46">
            <w:pPr>
              <w:jc w:val="both"/>
            </w:pPr>
            <w:r w:rsidRPr="00243D47">
              <w:t>1.6529</w:t>
            </w:r>
          </w:p>
          <w:p w:rsidR="00153013" w:rsidRPr="00243D47" w:rsidRDefault="00153013" w:rsidP="00B67A46">
            <w:pPr>
              <w:jc w:val="both"/>
            </w:pPr>
            <w:r w:rsidRPr="00243D47">
              <w:t>151</w:t>
            </w:r>
          </w:p>
        </w:tc>
        <w:tc>
          <w:tcPr>
            <w:tcW w:w="2324" w:type="dxa"/>
          </w:tcPr>
          <w:p w:rsidR="0034263F" w:rsidRPr="00243D47" w:rsidRDefault="00BD3630" w:rsidP="00B67A46">
            <w:pPr>
              <w:jc w:val="both"/>
            </w:pPr>
            <w:r w:rsidRPr="00243D47">
              <w:rPr>
                <w:lang w:val="fr-FR"/>
              </w:rPr>
              <w:t xml:space="preserve">1.3524 </w:t>
            </w:r>
            <w:r w:rsidRPr="00243D47">
              <w:t>(</w:t>
            </w:r>
            <w:proofErr w:type="gramStart"/>
            <w:r w:rsidRPr="00243D47">
              <w:t>17.4938</w:t>
            </w:r>
            <w:r w:rsidR="0034263F" w:rsidRPr="00243D47">
              <w:t>)*</w:t>
            </w:r>
            <w:proofErr w:type="gramEnd"/>
            <w:r w:rsidR="0034263F" w:rsidRPr="00243D47">
              <w:t>**</w:t>
            </w:r>
          </w:p>
          <w:p w:rsidR="0034263F" w:rsidRPr="00243D47" w:rsidRDefault="00BD3630" w:rsidP="00B67A46">
            <w:pPr>
              <w:jc w:val="both"/>
            </w:pPr>
            <w:r w:rsidRPr="00243D47">
              <w:t>0.4641</w:t>
            </w:r>
            <w:r w:rsidR="0034263F" w:rsidRPr="00243D47">
              <w:t xml:space="preserve"> (</w:t>
            </w:r>
            <w:proofErr w:type="gramStart"/>
            <w:r w:rsidR="0034263F" w:rsidRPr="00243D47">
              <w:t>1</w:t>
            </w:r>
            <w:r w:rsidRPr="00243D47">
              <w:t>0.7712</w:t>
            </w:r>
            <w:r w:rsidR="0034263F" w:rsidRPr="00243D47">
              <w:t>)*</w:t>
            </w:r>
            <w:proofErr w:type="gramEnd"/>
            <w:r w:rsidR="0034263F" w:rsidRPr="00243D47">
              <w:t>**</w:t>
            </w:r>
          </w:p>
          <w:p w:rsidR="0034263F" w:rsidRPr="00243D47" w:rsidRDefault="00BD3630" w:rsidP="00B67A46">
            <w:pPr>
              <w:jc w:val="both"/>
            </w:pPr>
            <w:r w:rsidRPr="00243D47">
              <w:t>0.4938</w:t>
            </w:r>
            <w:r w:rsidR="0034263F" w:rsidRPr="00243D47">
              <w:t xml:space="preserve"> (</w:t>
            </w:r>
            <w:proofErr w:type="gramStart"/>
            <w:r w:rsidR="0034263F" w:rsidRPr="00243D47">
              <w:t>1</w:t>
            </w:r>
            <w:r w:rsidRPr="00243D47">
              <w:t>0.4311</w:t>
            </w:r>
            <w:r w:rsidR="0034263F" w:rsidRPr="00243D47">
              <w:t>)*</w:t>
            </w:r>
            <w:proofErr w:type="gramEnd"/>
            <w:r w:rsidR="0034263F" w:rsidRPr="00243D47">
              <w:t>**</w:t>
            </w:r>
          </w:p>
          <w:p w:rsidR="0034263F" w:rsidRPr="00243D47" w:rsidRDefault="00BD3630" w:rsidP="00B67A46">
            <w:pPr>
              <w:jc w:val="both"/>
            </w:pPr>
            <w:r w:rsidRPr="00243D47">
              <w:t>-0.1451</w:t>
            </w:r>
            <w:r w:rsidR="0034263F" w:rsidRPr="00243D47">
              <w:t xml:space="preserve"> (</w:t>
            </w:r>
            <w:r w:rsidRPr="00243D47">
              <w:t>-3.</w:t>
            </w:r>
            <w:proofErr w:type="gramStart"/>
            <w:r w:rsidRPr="00243D47">
              <w:t>0288</w:t>
            </w:r>
            <w:r w:rsidR="0034263F" w:rsidRPr="00243D47">
              <w:t>)</w:t>
            </w:r>
            <w:r w:rsidRPr="00243D47">
              <w:t>*</w:t>
            </w:r>
            <w:proofErr w:type="gramEnd"/>
            <w:r w:rsidRPr="00243D47">
              <w:t>**</w:t>
            </w:r>
          </w:p>
          <w:p w:rsidR="0034263F" w:rsidRPr="00243D47" w:rsidRDefault="00BD3630" w:rsidP="00B67A46">
            <w:pPr>
              <w:jc w:val="both"/>
            </w:pPr>
            <w:r w:rsidRPr="00243D47">
              <w:t>-0.0067</w:t>
            </w:r>
            <w:r w:rsidR="0034263F" w:rsidRPr="00243D47">
              <w:t xml:space="preserve"> (</w:t>
            </w:r>
            <w:r w:rsidRPr="00243D47">
              <w:t>-4.</w:t>
            </w:r>
            <w:proofErr w:type="gramStart"/>
            <w:r w:rsidRPr="00243D47">
              <w:t>0556</w:t>
            </w:r>
            <w:r w:rsidR="0034263F" w:rsidRPr="00243D47">
              <w:t>)*</w:t>
            </w:r>
            <w:proofErr w:type="gramEnd"/>
            <w:r w:rsidR="0034263F" w:rsidRPr="00243D47">
              <w:t>**</w:t>
            </w:r>
          </w:p>
          <w:p w:rsidR="0034263F" w:rsidRPr="00243D47" w:rsidRDefault="00BD3630" w:rsidP="00B67A46">
            <w:pPr>
              <w:jc w:val="both"/>
            </w:pPr>
            <w:r w:rsidRPr="00243D47">
              <w:t>0.9955</w:t>
            </w:r>
          </w:p>
          <w:p w:rsidR="0034263F" w:rsidRPr="00243D47" w:rsidRDefault="00BD3630" w:rsidP="00B67A46">
            <w:pPr>
              <w:jc w:val="both"/>
            </w:pPr>
            <w:r w:rsidRPr="00243D47">
              <w:t>0.9954</w:t>
            </w:r>
          </w:p>
          <w:p w:rsidR="007B4089" w:rsidRPr="00243D47" w:rsidRDefault="007B4089" w:rsidP="00B67A46">
            <w:pPr>
              <w:jc w:val="both"/>
            </w:pPr>
            <w:r w:rsidRPr="00243D47">
              <w:rPr>
                <w:color w:val="000000"/>
              </w:rPr>
              <w:t>0.0972</w:t>
            </w:r>
          </w:p>
          <w:p w:rsidR="0034263F" w:rsidRPr="00243D47" w:rsidRDefault="00BD3630" w:rsidP="00B67A46">
            <w:pPr>
              <w:jc w:val="both"/>
            </w:pPr>
            <w:r w:rsidRPr="00243D47">
              <w:t>1.5919</w:t>
            </w:r>
          </w:p>
          <w:p w:rsidR="00C97B22" w:rsidRPr="00243D47" w:rsidRDefault="0034263F" w:rsidP="00B67A46">
            <w:pPr>
              <w:jc w:val="both"/>
              <w:rPr>
                <w:b/>
              </w:rPr>
            </w:pPr>
            <w:r w:rsidRPr="00243D47">
              <w:t>15</w:t>
            </w:r>
            <w:r w:rsidR="00BD3630" w:rsidRPr="00243D47">
              <w:t>0</w:t>
            </w:r>
          </w:p>
        </w:tc>
        <w:tc>
          <w:tcPr>
            <w:tcW w:w="2409" w:type="dxa"/>
          </w:tcPr>
          <w:p w:rsidR="0034263F" w:rsidRPr="00243D47" w:rsidRDefault="00B21EBC" w:rsidP="00B67A46">
            <w:pPr>
              <w:jc w:val="both"/>
            </w:pPr>
            <w:r w:rsidRPr="00243D47">
              <w:rPr>
                <w:lang w:val="fr-FR"/>
              </w:rPr>
              <w:t>1.1625</w:t>
            </w:r>
            <w:r w:rsidR="002D4D8B" w:rsidRPr="00243D47">
              <w:rPr>
                <w:lang w:val="fr-FR"/>
              </w:rPr>
              <w:t xml:space="preserve"> </w:t>
            </w:r>
            <w:r w:rsidRPr="00243D47">
              <w:t>(</w:t>
            </w:r>
            <w:proofErr w:type="gramStart"/>
            <w:r w:rsidRPr="00243D47">
              <w:t>36.9848</w:t>
            </w:r>
            <w:r w:rsidR="0034263F" w:rsidRPr="00243D47">
              <w:t>)*</w:t>
            </w:r>
            <w:proofErr w:type="gramEnd"/>
            <w:r w:rsidR="0034263F" w:rsidRPr="00243D47">
              <w:t>**</w:t>
            </w:r>
          </w:p>
          <w:p w:rsidR="0034263F" w:rsidRPr="00243D47" w:rsidRDefault="00B21EBC" w:rsidP="00B67A46">
            <w:pPr>
              <w:jc w:val="both"/>
            </w:pPr>
            <w:r w:rsidRPr="00243D47">
              <w:t>0.0169 (0.4318)</w:t>
            </w:r>
          </w:p>
          <w:p w:rsidR="0034263F" w:rsidRPr="00243D47" w:rsidRDefault="00B21EBC" w:rsidP="00B67A46">
            <w:pPr>
              <w:jc w:val="both"/>
            </w:pPr>
            <w:r w:rsidRPr="00243D47">
              <w:t>0.9299</w:t>
            </w:r>
            <w:r w:rsidR="0034263F" w:rsidRPr="00243D47">
              <w:t xml:space="preserve"> (</w:t>
            </w:r>
            <w:proofErr w:type="gramStart"/>
            <w:r w:rsidR="0034263F" w:rsidRPr="00243D47">
              <w:t>1</w:t>
            </w:r>
            <w:r w:rsidRPr="00243D47">
              <w:t>6.8748</w:t>
            </w:r>
            <w:r w:rsidR="0034263F" w:rsidRPr="00243D47">
              <w:t>)*</w:t>
            </w:r>
            <w:proofErr w:type="gramEnd"/>
            <w:r w:rsidR="0034263F" w:rsidRPr="00243D47">
              <w:t>**</w:t>
            </w:r>
          </w:p>
          <w:p w:rsidR="0034263F" w:rsidRPr="00243D47" w:rsidRDefault="00B21EBC" w:rsidP="00B67A46">
            <w:pPr>
              <w:jc w:val="both"/>
            </w:pPr>
            <w:r w:rsidRPr="00243D47">
              <w:t>-0.7177</w:t>
            </w:r>
            <w:r w:rsidR="0034263F" w:rsidRPr="00243D47">
              <w:t xml:space="preserve"> (</w:t>
            </w:r>
            <w:r w:rsidRPr="00243D47">
              <w:t>-20.</w:t>
            </w:r>
            <w:proofErr w:type="gramStart"/>
            <w:r w:rsidRPr="00243D47">
              <w:t>0555</w:t>
            </w:r>
            <w:r w:rsidR="0034263F" w:rsidRPr="00243D47">
              <w:t>)</w:t>
            </w:r>
            <w:r w:rsidRPr="00243D47">
              <w:t>*</w:t>
            </w:r>
            <w:proofErr w:type="gramEnd"/>
            <w:r w:rsidRPr="00243D47">
              <w:t>**</w:t>
            </w:r>
          </w:p>
          <w:p w:rsidR="0034263F" w:rsidRPr="00243D47" w:rsidRDefault="00432F6B" w:rsidP="00B67A46">
            <w:pPr>
              <w:jc w:val="both"/>
            </w:pPr>
            <w:r w:rsidRPr="00243D47">
              <w:t>-0.0051</w:t>
            </w:r>
            <w:r w:rsidR="0034263F" w:rsidRPr="00243D47">
              <w:t xml:space="preserve"> (</w:t>
            </w:r>
            <w:r w:rsidRPr="00243D47">
              <w:t>-2.</w:t>
            </w:r>
            <w:proofErr w:type="gramStart"/>
            <w:r w:rsidRPr="00243D47">
              <w:t>2016)*</w:t>
            </w:r>
            <w:proofErr w:type="gramEnd"/>
            <w:r w:rsidRPr="00243D47">
              <w:t>*</w:t>
            </w:r>
          </w:p>
          <w:p w:rsidR="0034263F" w:rsidRPr="00243D47" w:rsidRDefault="00432F6B" w:rsidP="00B67A46">
            <w:pPr>
              <w:jc w:val="both"/>
            </w:pPr>
            <w:r w:rsidRPr="00243D47">
              <w:t>0.9296</w:t>
            </w:r>
          </w:p>
          <w:p w:rsidR="0034263F" w:rsidRPr="00243D47" w:rsidRDefault="00432F6B" w:rsidP="00B67A46">
            <w:pPr>
              <w:jc w:val="both"/>
            </w:pPr>
            <w:r w:rsidRPr="00243D47">
              <w:t>0.9277</w:t>
            </w:r>
          </w:p>
          <w:p w:rsidR="007B4089" w:rsidRPr="00243D47" w:rsidRDefault="007B4089" w:rsidP="00B67A46">
            <w:pPr>
              <w:jc w:val="both"/>
            </w:pPr>
            <w:r w:rsidRPr="00243D47">
              <w:rPr>
                <w:color w:val="000000"/>
              </w:rPr>
              <w:t>0.0655</w:t>
            </w:r>
          </w:p>
          <w:p w:rsidR="0034263F" w:rsidRPr="00243D47" w:rsidRDefault="00432F6B" w:rsidP="00B67A46">
            <w:pPr>
              <w:jc w:val="both"/>
            </w:pPr>
            <w:r w:rsidRPr="00243D47">
              <w:t>1.9082</w:t>
            </w:r>
          </w:p>
          <w:p w:rsidR="00C97B22" w:rsidRPr="00243D47" w:rsidRDefault="0034263F" w:rsidP="00B67A46">
            <w:pPr>
              <w:jc w:val="both"/>
              <w:rPr>
                <w:b/>
              </w:rPr>
            </w:pPr>
            <w:r w:rsidRPr="00243D47">
              <w:t>15</w:t>
            </w:r>
            <w:r w:rsidR="00432F6B" w:rsidRPr="00243D47">
              <w:t>0</w:t>
            </w:r>
          </w:p>
        </w:tc>
      </w:tr>
    </w:tbl>
    <w:p w:rsidR="00C97B22" w:rsidRPr="00243D47" w:rsidRDefault="002E3A6C" w:rsidP="00B67A46">
      <w:pPr>
        <w:jc w:val="both"/>
      </w:pPr>
      <w:r>
        <w:rPr>
          <w:i/>
        </w:rPr>
        <w:t xml:space="preserve">      </w:t>
      </w:r>
      <w:r w:rsidR="00153013" w:rsidRPr="00243D47">
        <w:rPr>
          <w:i/>
        </w:rPr>
        <w:t>Notes</w:t>
      </w:r>
      <w:r w:rsidR="00153013" w:rsidRPr="00243D47">
        <w:t xml:space="preserve">: Numbers in parentheses are </w:t>
      </w:r>
      <w:r w:rsidR="00153013" w:rsidRPr="00243D47">
        <w:rPr>
          <w:i/>
        </w:rPr>
        <w:t>t</w:t>
      </w:r>
      <w:r w:rsidR="00153013" w:rsidRPr="00243D47">
        <w:t>-statistics based on the OLS estimates.</w:t>
      </w:r>
    </w:p>
    <w:p w:rsidR="00066BA8" w:rsidRPr="00243D47" w:rsidRDefault="00066194" w:rsidP="00B67A46">
      <w:pPr>
        <w:jc w:val="both"/>
      </w:pPr>
      <w:r w:rsidRPr="00243D47">
        <w:t xml:space="preserve">           </w:t>
      </w:r>
      <w:r w:rsidR="00066BA8" w:rsidRPr="00243D47">
        <w:t xml:space="preserve">  </w:t>
      </w:r>
      <w:r w:rsidR="002E3A6C">
        <w:t xml:space="preserve">    </w:t>
      </w:r>
      <w:r w:rsidRPr="00243D47">
        <w:t>OLS* refers to GLS using Cochrane-</w:t>
      </w:r>
      <w:proofErr w:type="spellStart"/>
      <w:r w:rsidRPr="00243D47">
        <w:t>Orcutt</w:t>
      </w:r>
      <w:proofErr w:type="spellEnd"/>
      <w:r w:rsidRPr="00243D47">
        <w:t xml:space="preserve"> iterative procedure for the first round</w:t>
      </w:r>
      <w:r w:rsidR="00BD3630" w:rsidRPr="00243D47">
        <w:t xml:space="preserve"> </w:t>
      </w:r>
    </w:p>
    <w:p w:rsidR="00066194" w:rsidRPr="00243D47" w:rsidRDefault="00066BA8" w:rsidP="00B67A46">
      <w:pPr>
        <w:jc w:val="both"/>
      </w:pPr>
      <w:r w:rsidRPr="00243D47">
        <w:t xml:space="preserve">             </w:t>
      </w:r>
      <w:r w:rsidR="002E3A6C">
        <w:t xml:space="preserve">    </w:t>
      </w:r>
      <w:r w:rsidR="00BD3630" w:rsidRPr="00243D47">
        <w:t>(</w:t>
      </w:r>
      <w:r w:rsidR="00BD3630" w:rsidRPr="00243D47">
        <w:rPr>
          <w:i/>
        </w:rPr>
        <w:t>ρ</w:t>
      </w:r>
      <w:r w:rsidR="00BD3630" w:rsidRPr="00243D47">
        <w:t xml:space="preserve"> = 0.173175)</w:t>
      </w:r>
      <w:r w:rsidR="00066194" w:rsidRPr="00243D47">
        <w:t>.</w:t>
      </w:r>
    </w:p>
    <w:p w:rsidR="00066BA8" w:rsidRPr="00243D47" w:rsidRDefault="00066194" w:rsidP="00B67A46">
      <w:pPr>
        <w:jc w:val="both"/>
      </w:pPr>
      <w:r w:rsidRPr="00243D47">
        <w:lastRenderedPageBreak/>
        <w:t xml:space="preserve">           </w:t>
      </w:r>
      <w:r w:rsidR="00066BA8" w:rsidRPr="00243D47">
        <w:t xml:space="preserve">  </w:t>
      </w:r>
      <w:r w:rsidR="002E3A6C">
        <w:t xml:space="preserve">    </w:t>
      </w:r>
      <w:r w:rsidRPr="00243D47">
        <w:t>OLS** refers to GLS using Cochrane-</w:t>
      </w:r>
      <w:proofErr w:type="spellStart"/>
      <w:r w:rsidRPr="00243D47">
        <w:t>Orcutt</w:t>
      </w:r>
      <w:proofErr w:type="spellEnd"/>
      <w:r w:rsidRPr="00243D47">
        <w:t xml:space="preserve"> iterative procedure for the second</w:t>
      </w:r>
      <w:r w:rsidR="00252D0A" w:rsidRPr="00243D47">
        <w:t xml:space="preserve"> </w:t>
      </w:r>
      <w:r w:rsidR="00BD3630" w:rsidRPr="00243D47">
        <w:t>r</w:t>
      </w:r>
      <w:r w:rsidRPr="00243D47">
        <w:t>ound</w:t>
      </w:r>
      <w:r w:rsidR="00BD3630" w:rsidRPr="00243D47">
        <w:t xml:space="preserve"> </w:t>
      </w:r>
    </w:p>
    <w:p w:rsidR="00066194" w:rsidRPr="00243D47" w:rsidRDefault="00066BA8" w:rsidP="00B67A46">
      <w:pPr>
        <w:jc w:val="both"/>
      </w:pPr>
      <w:r w:rsidRPr="00243D47">
        <w:t xml:space="preserve">             </w:t>
      </w:r>
      <w:r w:rsidR="002E3A6C">
        <w:t xml:space="preserve">    </w:t>
      </w:r>
      <w:r w:rsidR="00BD3630" w:rsidRPr="00243D47">
        <w:t>(</w:t>
      </w:r>
      <w:r w:rsidR="00BD3630" w:rsidRPr="00243D47">
        <w:rPr>
          <w:i/>
        </w:rPr>
        <w:t>ρ</w:t>
      </w:r>
      <w:r w:rsidR="00BD3630" w:rsidRPr="00243D47">
        <w:t xml:space="preserve"> = 0.886199).</w:t>
      </w:r>
    </w:p>
    <w:p w:rsidR="00066194" w:rsidRPr="00243D47" w:rsidRDefault="00066BA8" w:rsidP="00B67A46">
      <w:pPr>
        <w:autoSpaceDE w:val="0"/>
        <w:autoSpaceDN w:val="0"/>
        <w:adjustRightInd w:val="0"/>
        <w:jc w:val="both"/>
      </w:pPr>
      <w:r w:rsidRPr="00243D47">
        <w:t xml:space="preserve">             </w:t>
      </w:r>
      <w:r w:rsidR="002E3A6C">
        <w:t xml:space="preserve">    </w:t>
      </w:r>
      <w:r w:rsidR="00066194" w:rsidRPr="00243D47">
        <w:t>*** Indicates 1% level of significance.</w:t>
      </w:r>
    </w:p>
    <w:p w:rsidR="00066194" w:rsidRPr="00243D47" w:rsidRDefault="00066BA8" w:rsidP="00B67A46">
      <w:pPr>
        <w:autoSpaceDE w:val="0"/>
        <w:autoSpaceDN w:val="0"/>
        <w:adjustRightInd w:val="0"/>
        <w:jc w:val="both"/>
      </w:pPr>
      <w:r w:rsidRPr="00243D47">
        <w:t xml:space="preserve">             </w:t>
      </w:r>
      <w:r w:rsidR="002E3A6C">
        <w:t xml:space="preserve">    </w:t>
      </w:r>
      <w:r w:rsidR="00066194" w:rsidRPr="00243D47">
        <w:t>**   Indicates 5% level of significance.</w:t>
      </w:r>
    </w:p>
    <w:p w:rsidR="002D4D8B" w:rsidRPr="00243D47" w:rsidRDefault="00066BA8" w:rsidP="00B67A46">
      <w:pPr>
        <w:jc w:val="both"/>
      </w:pPr>
      <w:r w:rsidRPr="00243D47">
        <w:t xml:space="preserve">             </w:t>
      </w:r>
      <w:r w:rsidR="002E3A6C">
        <w:t xml:space="preserve">    </w:t>
      </w:r>
      <w:r w:rsidR="00066194" w:rsidRPr="00243D47">
        <w:t>*     Indicates 10% level of significance.</w:t>
      </w:r>
    </w:p>
    <w:p w:rsidR="00FA60BB" w:rsidRPr="00243D47" w:rsidRDefault="00FA60BB" w:rsidP="00B67A46">
      <w:pPr>
        <w:jc w:val="both"/>
      </w:pPr>
    </w:p>
    <w:p w:rsidR="00165A65" w:rsidRPr="00243D47" w:rsidRDefault="00FA60BB" w:rsidP="007156F9">
      <w:pPr>
        <w:autoSpaceDE w:val="0"/>
        <w:autoSpaceDN w:val="0"/>
        <w:adjustRightInd w:val="0"/>
        <w:jc w:val="both"/>
      </w:pPr>
      <w:r w:rsidRPr="00243D47">
        <w:t>According to Park Test, the result from OLS** estimation shows that do not reject the null hypothesis, which means no heteroscedasticity</w:t>
      </w:r>
      <w:r w:rsidR="00B03ABB" w:rsidRPr="00243D47">
        <w:t xml:space="preserve"> present in the data</w:t>
      </w:r>
      <w:r w:rsidRPr="00243D47">
        <w:t xml:space="preserve">. </w:t>
      </w:r>
      <w:r w:rsidR="00713196" w:rsidRPr="00243D47">
        <w:rPr>
          <w:color w:val="333333"/>
        </w:rPr>
        <w:t xml:space="preserve">Notice that the Chow test is highly significant for break point to the year 1997Q4. </w:t>
      </w:r>
      <w:r w:rsidR="00133905" w:rsidRPr="00243D47">
        <w:t>We</w:t>
      </w:r>
      <w:r w:rsidR="007156F9">
        <w:t xml:space="preserve"> found that</w:t>
      </w:r>
      <w:proofErr w:type="gramStart"/>
      <w:r w:rsidR="007156F9">
        <w:t>…..</w:t>
      </w:r>
      <w:proofErr w:type="gramEnd"/>
    </w:p>
    <w:p w:rsidR="00165A65" w:rsidRPr="00243D47" w:rsidRDefault="00165A65" w:rsidP="00B67A46">
      <w:pPr>
        <w:jc w:val="both"/>
      </w:pPr>
    </w:p>
    <w:p w:rsidR="00FF7BB2" w:rsidRPr="00243D47" w:rsidRDefault="006B7F05" w:rsidP="007156F9">
      <w:pPr>
        <w:pStyle w:val="ListParagraph"/>
        <w:numPr>
          <w:ilvl w:val="0"/>
          <w:numId w:val="8"/>
        </w:numPr>
        <w:ind w:left="567" w:hanging="567"/>
        <w:jc w:val="both"/>
        <w:rPr>
          <w:b/>
        </w:rPr>
      </w:pPr>
      <w:r w:rsidRPr="00243D47">
        <w:rPr>
          <w:b/>
          <w:bCs/>
        </w:rPr>
        <w:t>Conclusion</w:t>
      </w:r>
    </w:p>
    <w:p w:rsidR="00F757C5" w:rsidRPr="00243D47" w:rsidRDefault="00F757C5" w:rsidP="00B67A46">
      <w:pPr>
        <w:jc w:val="both"/>
        <w:rPr>
          <w:b/>
        </w:rPr>
      </w:pPr>
    </w:p>
    <w:p w:rsidR="00066BA8" w:rsidRPr="00243D47" w:rsidRDefault="00F757C5" w:rsidP="00B67A46">
      <w:pPr>
        <w:autoSpaceDE w:val="0"/>
        <w:autoSpaceDN w:val="0"/>
        <w:adjustRightInd w:val="0"/>
        <w:jc w:val="both"/>
      </w:pPr>
      <w:r w:rsidRPr="00243D47">
        <w:rPr>
          <w:color w:val="000000"/>
        </w:rPr>
        <w:t>The s</w:t>
      </w:r>
      <w:r w:rsidR="007E0C08" w:rsidRPr="00243D47">
        <w:rPr>
          <w:color w:val="000000"/>
        </w:rPr>
        <w:t>tudies of determinants of economic growth</w:t>
      </w:r>
      <w:proofErr w:type="gramStart"/>
      <w:r w:rsidR="007156F9">
        <w:rPr>
          <w:color w:val="000000"/>
        </w:rPr>
        <w:t>…..</w:t>
      </w:r>
      <w:proofErr w:type="gramEnd"/>
    </w:p>
    <w:p w:rsidR="007825DE" w:rsidRPr="00243D47" w:rsidRDefault="007825DE" w:rsidP="00B67A46">
      <w:pPr>
        <w:autoSpaceDE w:val="0"/>
        <w:autoSpaceDN w:val="0"/>
        <w:adjustRightInd w:val="0"/>
        <w:jc w:val="both"/>
      </w:pPr>
    </w:p>
    <w:p w:rsidR="00E374BD" w:rsidRPr="00243D47" w:rsidRDefault="00E374BD" w:rsidP="00B67A46">
      <w:pPr>
        <w:autoSpaceDE w:val="0"/>
        <w:autoSpaceDN w:val="0"/>
        <w:adjustRightInd w:val="0"/>
        <w:jc w:val="both"/>
      </w:pPr>
    </w:p>
    <w:p w:rsidR="000C2C96" w:rsidRPr="00243D47" w:rsidRDefault="00775EC6" w:rsidP="00B67A46">
      <w:pPr>
        <w:autoSpaceDE w:val="0"/>
        <w:autoSpaceDN w:val="0"/>
        <w:adjustRightInd w:val="0"/>
        <w:jc w:val="both"/>
        <w:rPr>
          <w:b/>
        </w:rPr>
      </w:pPr>
      <w:r w:rsidRPr="00243D47">
        <w:rPr>
          <w:b/>
        </w:rPr>
        <w:t>Reference</w:t>
      </w:r>
      <w:r w:rsidR="00DC7D3B" w:rsidRPr="00243D47">
        <w:rPr>
          <w:b/>
        </w:rPr>
        <w:t>s</w:t>
      </w:r>
    </w:p>
    <w:p w:rsidR="00114151" w:rsidRPr="00243D47" w:rsidRDefault="00114151" w:rsidP="00B67A46">
      <w:pPr>
        <w:autoSpaceDE w:val="0"/>
        <w:autoSpaceDN w:val="0"/>
        <w:adjustRightInd w:val="0"/>
        <w:jc w:val="both"/>
        <w:rPr>
          <w:b/>
        </w:rPr>
      </w:pPr>
    </w:p>
    <w:p w:rsidR="000C7159" w:rsidRPr="00243D47" w:rsidRDefault="000C7159" w:rsidP="00B67A46">
      <w:pPr>
        <w:autoSpaceDE w:val="0"/>
        <w:autoSpaceDN w:val="0"/>
        <w:adjustRightInd w:val="0"/>
        <w:ind w:left="720" w:hanging="720"/>
        <w:jc w:val="both"/>
      </w:pPr>
      <w:proofErr w:type="spellStart"/>
      <w:r w:rsidRPr="00243D47">
        <w:t>Baizhu</w:t>
      </w:r>
      <w:proofErr w:type="spellEnd"/>
      <w:r w:rsidRPr="00243D47">
        <w:t xml:space="preserve"> Chen &amp; Yi Feng (2000). Determinants of economic growth in China: Private</w:t>
      </w:r>
      <w:r w:rsidR="00066BA8" w:rsidRPr="00243D47">
        <w:t xml:space="preserve"> </w:t>
      </w:r>
      <w:r w:rsidRPr="00243D47">
        <w:t xml:space="preserve">enterprise, education, and openness, </w:t>
      </w:r>
      <w:r w:rsidRPr="00243D47">
        <w:rPr>
          <w:i/>
        </w:rPr>
        <w:t>China Economic Review</w:t>
      </w:r>
      <w:r w:rsidRPr="00243D47">
        <w:t>.</w:t>
      </w:r>
    </w:p>
    <w:p w:rsidR="00EB7F6A" w:rsidRPr="007156F9" w:rsidRDefault="00EB7F6A" w:rsidP="007156F9">
      <w:pPr>
        <w:autoSpaceDE w:val="0"/>
        <w:autoSpaceDN w:val="0"/>
        <w:adjustRightInd w:val="0"/>
        <w:ind w:left="720" w:hanging="720"/>
        <w:jc w:val="both"/>
        <w:rPr>
          <w:i/>
        </w:rPr>
      </w:pPr>
      <w:proofErr w:type="spellStart"/>
      <w:r w:rsidRPr="00243D47">
        <w:t>Barro</w:t>
      </w:r>
      <w:proofErr w:type="spellEnd"/>
      <w:r w:rsidRPr="00243D47">
        <w:t xml:space="preserve">, R. J. (1991). Economic growth in a cross-section of countries, </w:t>
      </w:r>
      <w:r w:rsidRPr="00243D47">
        <w:rPr>
          <w:i/>
        </w:rPr>
        <w:t>Quarterly Journal of Economics.</w:t>
      </w:r>
    </w:p>
    <w:p w:rsidR="00EB7F6A" w:rsidRPr="00243D47" w:rsidRDefault="00D45EA3" w:rsidP="007156F9">
      <w:pPr>
        <w:autoSpaceDE w:val="0"/>
        <w:autoSpaceDN w:val="0"/>
        <w:adjustRightInd w:val="0"/>
        <w:ind w:left="720" w:hanging="720"/>
        <w:jc w:val="both"/>
      </w:pPr>
      <w:proofErr w:type="spellStart"/>
      <w:r w:rsidRPr="00243D47">
        <w:rPr>
          <w:iCs/>
        </w:rPr>
        <w:t>Chirinko</w:t>
      </w:r>
      <w:proofErr w:type="spellEnd"/>
      <w:r w:rsidRPr="00243D47">
        <w:rPr>
          <w:iCs/>
        </w:rPr>
        <w:t>, Robert S.</w:t>
      </w:r>
      <w:r w:rsidR="00EB7F6A" w:rsidRPr="00243D47">
        <w:rPr>
          <w:iCs/>
        </w:rPr>
        <w:t xml:space="preserve"> &amp;</w:t>
      </w:r>
      <w:r w:rsidR="004407D5">
        <w:rPr>
          <w:iCs/>
        </w:rPr>
        <w:t xml:space="preserve"> </w:t>
      </w:r>
      <w:bookmarkStart w:id="3" w:name="_GoBack"/>
      <w:bookmarkEnd w:id="3"/>
      <w:r w:rsidR="00EB7F6A" w:rsidRPr="00243D47">
        <w:rPr>
          <w:iCs/>
        </w:rPr>
        <w:t xml:space="preserve">Morris, C.  (1994). </w:t>
      </w:r>
      <w:r w:rsidR="00EB7F6A" w:rsidRPr="00243D47">
        <w:t>Fiscal Policies Aimed at Spurring Capital Formation: A Framework for Analysis</w:t>
      </w:r>
      <w:r w:rsidRPr="00243D47">
        <w:t>,</w:t>
      </w:r>
      <w:r w:rsidR="00EB7F6A" w:rsidRPr="00243D47">
        <w:t xml:space="preserve"> Federal Reserve Bank of Kansas City, </w:t>
      </w:r>
      <w:r w:rsidR="00EB7F6A" w:rsidRPr="00243D47">
        <w:rPr>
          <w:i/>
          <w:iCs/>
        </w:rPr>
        <w:t>Economic Review</w:t>
      </w:r>
      <w:r w:rsidR="00EB7F6A" w:rsidRPr="00243D47">
        <w:t>, February/March.</w:t>
      </w:r>
    </w:p>
    <w:p w:rsidR="00EB7F6A" w:rsidRPr="007156F9" w:rsidRDefault="00EB7F6A" w:rsidP="007156F9">
      <w:pPr>
        <w:autoSpaceDE w:val="0"/>
        <w:autoSpaceDN w:val="0"/>
        <w:adjustRightInd w:val="0"/>
        <w:ind w:left="720" w:hanging="720"/>
        <w:jc w:val="both"/>
        <w:rPr>
          <w:i/>
        </w:rPr>
      </w:pPr>
      <w:r w:rsidRPr="00243D47">
        <w:t>Fischer, Stanley. (1993). The Role of Macroeconomic Factors in Growth</w:t>
      </w:r>
      <w:r w:rsidR="00D45EA3" w:rsidRPr="00243D47">
        <w:t>,</w:t>
      </w:r>
      <w:r w:rsidRPr="00243D47">
        <w:t xml:space="preserve"> </w:t>
      </w:r>
      <w:r w:rsidRPr="00243D47">
        <w:rPr>
          <w:i/>
          <w:iCs/>
        </w:rPr>
        <w:t>Journal of Monetary Economics</w:t>
      </w:r>
      <w:r w:rsidRPr="00243D47">
        <w:rPr>
          <w:i/>
        </w:rPr>
        <w:t>.</w:t>
      </w:r>
    </w:p>
    <w:p w:rsidR="00EB7F6A" w:rsidRPr="00243D47" w:rsidRDefault="00EB7F6A" w:rsidP="00B67A46">
      <w:pPr>
        <w:autoSpaceDE w:val="0"/>
        <w:autoSpaceDN w:val="0"/>
        <w:adjustRightInd w:val="0"/>
        <w:jc w:val="both"/>
      </w:pPr>
      <w:r w:rsidRPr="00243D47">
        <w:t xml:space="preserve">Gujarati, </w:t>
      </w:r>
      <w:proofErr w:type="spellStart"/>
      <w:r w:rsidRPr="00243D47">
        <w:t>Damodar</w:t>
      </w:r>
      <w:proofErr w:type="spellEnd"/>
      <w:r w:rsidRPr="00243D47">
        <w:t xml:space="preserve"> N. (2003). Basic Econometrics, 4</w:t>
      </w:r>
      <w:r w:rsidRPr="00243D47">
        <w:rPr>
          <w:vertAlign w:val="superscript"/>
        </w:rPr>
        <w:t>th</w:t>
      </w:r>
      <w:r w:rsidRPr="00243D47">
        <w:t xml:space="preserve"> edition</w:t>
      </w:r>
      <w:r w:rsidR="00D45EA3" w:rsidRPr="00243D47">
        <w:t xml:space="preserve">, </w:t>
      </w:r>
      <w:r w:rsidRPr="00243D47">
        <w:rPr>
          <w:i/>
        </w:rPr>
        <w:t xml:space="preserve">Mc </w:t>
      </w:r>
      <w:proofErr w:type="spellStart"/>
      <w:r w:rsidRPr="00243D47">
        <w:rPr>
          <w:i/>
        </w:rPr>
        <w:t>Graw</w:t>
      </w:r>
      <w:proofErr w:type="spellEnd"/>
      <w:r w:rsidRPr="00243D47">
        <w:rPr>
          <w:i/>
        </w:rPr>
        <w:t xml:space="preserve"> Hill.</w:t>
      </w:r>
    </w:p>
    <w:p w:rsidR="00341DDB" w:rsidRPr="007156F9" w:rsidRDefault="00D45EA3" w:rsidP="007156F9">
      <w:pPr>
        <w:autoSpaceDE w:val="0"/>
        <w:autoSpaceDN w:val="0"/>
        <w:adjustRightInd w:val="0"/>
        <w:ind w:left="709" w:hanging="709"/>
        <w:jc w:val="both"/>
        <w:rPr>
          <w:i/>
        </w:rPr>
      </w:pPr>
      <w:r w:rsidRPr="00243D47">
        <w:t>Levine, R.</w:t>
      </w:r>
      <w:r w:rsidR="00EB7F6A" w:rsidRPr="00243D47">
        <w:t xml:space="preserve"> &amp; </w:t>
      </w:r>
      <w:proofErr w:type="spellStart"/>
      <w:r w:rsidR="00EB7F6A" w:rsidRPr="00243D47">
        <w:t>Renelt</w:t>
      </w:r>
      <w:proofErr w:type="spellEnd"/>
      <w:r w:rsidR="00EB7F6A" w:rsidRPr="00243D47">
        <w:t>, D. (1992). A sensitivity analysis of cross-country growth regressions</w:t>
      </w:r>
      <w:r w:rsidRPr="00243D47">
        <w:t xml:space="preserve">, </w:t>
      </w:r>
      <w:r w:rsidR="00EB7F6A" w:rsidRPr="00243D47">
        <w:rPr>
          <w:i/>
        </w:rPr>
        <w:t>The American Economic Review.</w:t>
      </w:r>
    </w:p>
    <w:p w:rsidR="00341DDB" w:rsidRPr="00243D47" w:rsidRDefault="00341DDB" w:rsidP="00B67A46">
      <w:pPr>
        <w:autoSpaceDE w:val="0"/>
        <w:autoSpaceDN w:val="0"/>
        <w:adjustRightInd w:val="0"/>
        <w:jc w:val="both"/>
      </w:pPr>
    </w:p>
    <w:sectPr w:rsidR="00341DDB" w:rsidRPr="00243D47" w:rsidSect="00E374BD">
      <w:headerReference w:type="default" r:id="rId9"/>
      <w:footerReference w:type="even" r:id="rId10"/>
      <w:footerReference w:type="default" r:id="rId11"/>
      <w:pgSz w:w="12240" w:h="15840"/>
      <w:pgMar w:top="1440" w:right="1440" w:bottom="1440" w:left="1440" w:header="720" w:footer="720" w:gutter="0"/>
      <w:pgNumType w:start="48"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1FF" w:rsidRDefault="00F811FF">
      <w:r>
        <w:separator/>
      </w:r>
    </w:p>
  </w:endnote>
  <w:endnote w:type="continuationSeparator" w:id="0">
    <w:p w:rsidR="00F811FF" w:rsidRDefault="00F8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620" w:rsidRDefault="00EA55A6" w:rsidP="002628AD">
    <w:pPr>
      <w:pStyle w:val="Footer"/>
      <w:framePr w:wrap="around" w:vAnchor="text" w:hAnchor="margin" w:xAlign="right" w:y="1"/>
      <w:rPr>
        <w:rStyle w:val="PageNumber"/>
      </w:rPr>
    </w:pPr>
    <w:r>
      <w:rPr>
        <w:rStyle w:val="PageNumber"/>
      </w:rPr>
      <w:fldChar w:fldCharType="begin"/>
    </w:r>
    <w:r w:rsidR="00F53620">
      <w:rPr>
        <w:rStyle w:val="PageNumber"/>
      </w:rPr>
      <w:instrText xml:space="preserve">PAGE  </w:instrText>
    </w:r>
    <w:r>
      <w:rPr>
        <w:rStyle w:val="PageNumber"/>
      </w:rPr>
      <w:fldChar w:fldCharType="end"/>
    </w:r>
  </w:p>
  <w:p w:rsidR="00F53620" w:rsidRDefault="00F53620" w:rsidP="00CB6CB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620" w:rsidRDefault="00F53620" w:rsidP="00B67A46">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1FF" w:rsidRDefault="00F811FF">
      <w:r>
        <w:separator/>
      </w:r>
    </w:p>
  </w:footnote>
  <w:footnote w:type="continuationSeparator" w:id="0">
    <w:p w:rsidR="00F811FF" w:rsidRDefault="00F811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15" w:rsidRDefault="001E3015" w:rsidP="001E3015">
    <w:pPr>
      <w:pStyle w:val="Header"/>
      <w:jc w:val="right"/>
    </w:pPr>
    <w:r>
      <w:ptab w:relativeTo="margin" w:alignment="center" w:leader="none"/>
    </w:r>
    <w:r>
      <w:t xml:space="preserve"> </w:t>
    </w:r>
    <w:r>
      <w:rPr>
        <w:i/>
        <w:sz w:val="20"/>
        <w:szCs w:val="20"/>
      </w:rPr>
      <w:t>Proceeding of the 2</w:t>
    </w:r>
    <w:r>
      <w:rPr>
        <w:i/>
        <w:sz w:val="20"/>
        <w:szCs w:val="20"/>
        <w:vertAlign w:val="superscript"/>
      </w:rPr>
      <w:t>nd</w:t>
    </w:r>
    <w:r>
      <w:rPr>
        <w:i/>
        <w:sz w:val="20"/>
        <w:szCs w:val="20"/>
      </w:rPr>
      <w:t xml:space="preserve"> </w:t>
    </w:r>
    <w:r w:rsidRPr="00B92B2F">
      <w:rPr>
        <w:i/>
        <w:sz w:val="20"/>
        <w:szCs w:val="20"/>
      </w:rPr>
      <w:t xml:space="preserve">International Conference on </w:t>
    </w:r>
    <w:r>
      <w:rPr>
        <w:i/>
        <w:sz w:val="20"/>
        <w:szCs w:val="20"/>
      </w:rPr>
      <w:t>Economics</w:t>
    </w:r>
    <w:r>
      <w:rPr>
        <w:i/>
        <w:sz w:val="20"/>
        <w:szCs w:val="20"/>
      </w:rPr>
      <w:t xml:space="preserve"> </w:t>
    </w:r>
    <w:r>
      <w:rPr>
        <w:i/>
        <w:sz w:val="20"/>
        <w:szCs w:val="20"/>
      </w:rPr>
      <w:t>&amp;</w:t>
    </w:r>
    <w:r>
      <w:rPr>
        <w:i/>
        <w:sz w:val="20"/>
        <w:szCs w:val="20"/>
      </w:rPr>
      <w:t xml:space="preserve"> </w:t>
    </w:r>
    <w:r>
      <w:rPr>
        <w:i/>
        <w:sz w:val="20"/>
        <w:szCs w:val="20"/>
      </w:rPr>
      <w:t>Banking 2016</w:t>
    </w:r>
    <w:r>
      <w:rPr>
        <w:i/>
        <w:sz w:val="20"/>
        <w:szCs w:val="20"/>
      </w:rPr>
      <w:t xml:space="preserve"> (2</w:t>
    </w:r>
    <w:r>
      <w:rPr>
        <w:i/>
        <w:sz w:val="20"/>
        <w:szCs w:val="20"/>
        <w:vertAlign w:val="superscript"/>
      </w:rPr>
      <w:t>nd</w:t>
    </w:r>
    <w:r>
      <w:rPr>
        <w:i/>
        <w:sz w:val="20"/>
        <w:szCs w:val="20"/>
      </w:rPr>
      <w:t xml:space="preserve"> </w:t>
    </w:r>
    <w:proofErr w:type="gramStart"/>
    <w:r>
      <w:rPr>
        <w:i/>
        <w:sz w:val="20"/>
        <w:szCs w:val="20"/>
      </w:rPr>
      <w:t>ICEB</w:t>
    </w:r>
    <w:r w:rsidR="00243D47">
      <w:rPr>
        <w:i/>
        <w:sz w:val="20"/>
        <w:szCs w:val="20"/>
      </w:rPr>
      <w:t>)</w:t>
    </w:r>
    <w:r w:rsidRPr="00B92B2F">
      <w:rPr>
        <w:i/>
        <w:sz w:val="20"/>
        <w:szCs w:val="20"/>
      </w:rPr>
      <w:t xml:space="preserve">   </w:t>
    </w:r>
    <w:proofErr w:type="gramEnd"/>
    <w:r w:rsidRPr="00B92B2F">
      <w:rPr>
        <w:i/>
        <w:sz w:val="20"/>
        <w:szCs w:val="20"/>
      </w:rPr>
      <w:t xml:space="preserve">                     </w:t>
    </w:r>
    <w:r>
      <w:rPr>
        <w:i/>
        <w:sz w:val="20"/>
        <w:szCs w:val="20"/>
      </w:rPr>
      <w:t xml:space="preserve">                               </w:t>
    </w:r>
    <w:r>
      <w:rPr>
        <w:i/>
        <w:sz w:val="20"/>
        <w:szCs w:val="20"/>
      </w:rPr>
      <w:t xml:space="preserve"> 24</w:t>
    </w:r>
    <w:r w:rsidRPr="00B92B2F">
      <w:rPr>
        <w:i/>
        <w:sz w:val="20"/>
        <w:szCs w:val="20"/>
        <w:vertAlign w:val="superscript"/>
      </w:rPr>
      <w:t>th</w:t>
    </w:r>
    <w:r>
      <w:rPr>
        <w:i/>
        <w:sz w:val="20"/>
        <w:szCs w:val="20"/>
      </w:rPr>
      <w:t xml:space="preserve"> – 25</w:t>
    </w:r>
    <w:r w:rsidRPr="00B92B2F">
      <w:rPr>
        <w:i/>
        <w:sz w:val="20"/>
        <w:szCs w:val="20"/>
        <w:vertAlign w:val="superscript"/>
      </w:rPr>
      <w:t>th</w:t>
    </w:r>
    <w:r>
      <w:rPr>
        <w:i/>
        <w:sz w:val="20"/>
        <w:szCs w:val="20"/>
      </w:rPr>
      <w:t xml:space="preserve"> </w:t>
    </w:r>
    <w:r>
      <w:rPr>
        <w:i/>
        <w:sz w:val="20"/>
        <w:szCs w:val="20"/>
      </w:rPr>
      <w:t>May 2016</w:t>
    </w:r>
    <w:r w:rsidR="00243D47">
      <w:rPr>
        <w:i/>
        <w:sz w:val="20"/>
        <w:szCs w:val="20"/>
      </w:rPr>
      <w:t>, e-ISBN: 978</w:t>
    </w:r>
    <w:r>
      <w:rPr>
        <w:i/>
        <w:sz w:val="20"/>
        <w:szCs w:val="20"/>
      </w:rPr>
      <w:t>-xxx-xxxx-xx</w:t>
    </w:r>
    <w:r w:rsidRPr="00B92B2F">
      <w:rPr>
        <w:i/>
        <w:sz w:val="20"/>
        <w:szCs w:val="20"/>
      </w:rPr>
      <w:t>-</w:t>
    </w:r>
    <w:r>
      <w:rPr>
        <w:i/>
        <w:sz w:val="20"/>
        <w:szCs w:val="20"/>
      </w:rPr>
      <w:t xml:space="preserve">x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4E47"/>
    <w:multiLevelType w:val="hybridMultilevel"/>
    <w:tmpl w:val="643CC29A"/>
    <w:lvl w:ilvl="0" w:tplc="1C3EF13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67487"/>
    <w:multiLevelType w:val="multilevel"/>
    <w:tmpl w:val="673609A4"/>
    <w:lvl w:ilvl="0">
      <w:start w:val="4"/>
      <w:numFmt w:val="decimal"/>
      <w:lvlText w:val="%1.0"/>
      <w:lvlJc w:val="left"/>
      <w:pPr>
        <w:tabs>
          <w:tab w:val="num" w:pos="3510"/>
        </w:tabs>
        <w:ind w:left="3510" w:hanging="720"/>
      </w:pPr>
      <w:rPr>
        <w:rFonts w:hint="default"/>
      </w:rPr>
    </w:lvl>
    <w:lvl w:ilvl="1">
      <w:start w:val="1"/>
      <w:numFmt w:val="decimal"/>
      <w:lvlText w:val="%1.%2"/>
      <w:lvlJc w:val="left"/>
      <w:pPr>
        <w:tabs>
          <w:tab w:val="num" w:pos="4230"/>
        </w:tabs>
        <w:ind w:left="4230" w:hanging="720"/>
      </w:pPr>
      <w:rPr>
        <w:rFonts w:hint="default"/>
      </w:rPr>
    </w:lvl>
    <w:lvl w:ilvl="2">
      <w:start w:val="1"/>
      <w:numFmt w:val="decimal"/>
      <w:lvlText w:val="%1.%2.%3"/>
      <w:lvlJc w:val="left"/>
      <w:pPr>
        <w:tabs>
          <w:tab w:val="num" w:pos="4950"/>
        </w:tabs>
        <w:ind w:left="4950" w:hanging="720"/>
      </w:pPr>
      <w:rPr>
        <w:rFonts w:hint="default"/>
      </w:rPr>
    </w:lvl>
    <w:lvl w:ilvl="3">
      <w:start w:val="1"/>
      <w:numFmt w:val="decimal"/>
      <w:lvlText w:val="%1.%2.%3.%4"/>
      <w:lvlJc w:val="left"/>
      <w:pPr>
        <w:tabs>
          <w:tab w:val="num" w:pos="5670"/>
        </w:tabs>
        <w:ind w:left="5670" w:hanging="720"/>
      </w:pPr>
      <w:rPr>
        <w:rFonts w:hint="default"/>
      </w:rPr>
    </w:lvl>
    <w:lvl w:ilvl="4">
      <w:start w:val="1"/>
      <w:numFmt w:val="decimal"/>
      <w:lvlText w:val="%1.%2.%3.%4.%5"/>
      <w:lvlJc w:val="left"/>
      <w:pPr>
        <w:tabs>
          <w:tab w:val="num" w:pos="6750"/>
        </w:tabs>
        <w:ind w:left="6750" w:hanging="1080"/>
      </w:pPr>
      <w:rPr>
        <w:rFonts w:hint="default"/>
      </w:rPr>
    </w:lvl>
    <w:lvl w:ilvl="5">
      <w:start w:val="1"/>
      <w:numFmt w:val="decimal"/>
      <w:lvlText w:val="%1.%2.%3.%4.%5.%6"/>
      <w:lvlJc w:val="left"/>
      <w:pPr>
        <w:tabs>
          <w:tab w:val="num" w:pos="7470"/>
        </w:tabs>
        <w:ind w:left="7470" w:hanging="1080"/>
      </w:pPr>
      <w:rPr>
        <w:rFonts w:hint="default"/>
      </w:rPr>
    </w:lvl>
    <w:lvl w:ilvl="6">
      <w:start w:val="1"/>
      <w:numFmt w:val="decimal"/>
      <w:lvlText w:val="%1.%2.%3.%4.%5.%6.%7"/>
      <w:lvlJc w:val="left"/>
      <w:pPr>
        <w:tabs>
          <w:tab w:val="num" w:pos="8550"/>
        </w:tabs>
        <w:ind w:left="8550" w:hanging="1440"/>
      </w:pPr>
      <w:rPr>
        <w:rFonts w:hint="default"/>
      </w:rPr>
    </w:lvl>
    <w:lvl w:ilvl="7">
      <w:start w:val="1"/>
      <w:numFmt w:val="decimal"/>
      <w:lvlText w:val="%1.%2.%3.%4.%5.%6.%7.%8"/>
      <w:lvlJc w:val="left"/>
      <w:pPr>
        <w:tabs>
          <w:tab w:val="num" w:pos="9270"/>
        </w:tabs>
        <w:ind w:left="9270" w:hanging="1440"/>
      </w:pPr>
      <w:rPr>
        <w:rFonts w:hint="default"/>
      </w:rPr>
    </w:lvl>
    <w:lvl w:ilvl="8">
      <w:start w:val="1"/>
      <w:numFmt w:val="decimal"/>
      <w:lvlText w:val="%1.%2.%3.%4.%5.%6.%7.%8.%9"/>
      <w:lvlJc w:val="left"/>
      <w:pPr>
        <w:tabs>
          <w:tab w:val="num" w:pos="10350"/>
        </w:tabs>
        <w:ind w:left="10350" w:hanging="1800"/>
      </w:pPr>
      <w:rPr>
        <w:rFonts w:hint="default"/>
      </w:rPr>
    </w:lvl>
  </w:abstractNum>
  <w:abstractNum w:abstractNumId="2" w15:restartNumberingAfterBreak="0">
    <w:nsid w:val="1D167F66"/>
    <w:multiLevelType w:val="multilevel"/>
    <w:tmpl w:val="4978DE78"/>
    <w:lvl w:ilvl="0">
      <w:start w:val="2"/>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15:restartNumberingAfterBreak="0">
    <w:nsid w:val="33E47B8A"/>
    <w:multiLevelType w:val="hybridMultilevel"/>
    <w:tmpl w:val="E252FA6C"/>
    <w:lvl w:ilvl="0" w:tplc="0409000F">
      <w:start w:val="1"/>
      <w:numFmt w:val="decimal"/>
      <w:lvlText w:val="%1."/>
      <w:lvlJc w:val="left"/>
      <w:pPr>
        <w:tabs>
          <w:tab w:val="num" w:pos="720"/>
        </w:tabs>
        <w:ind w:left="720" w:hanging="360"/>
      </w:pPr>
      <w:rPr>
        <w:rFonts w:hint="default"/>
      </w:rPr>
    </w:lvl>
    <w:lvl w:ilvl="1" w:tplc="BE9AB39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9A6951"/>
    <w:multiLevelType w:val="hybridMultilevel"/>
    <w:tmpl w:val="1674DD3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7A17EB2"/>
    <w:multiLevelType w:val="hybridMultilevel"/>
    <w:tmpl w:val="2CAE9B0A"/>
    <w:lvl w:ilvl="0" w:tplc="C02A8A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EB246E"/>
    <w:multiLevelType w:val="multilevel"/>
    <w:tmpl w:val="B2668FD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7C546D9B"/>
    <w:multiLevelType w:val="hybridMultilevel"/>
    <w:tmpl w:val="805CDA3A"/>
    <w:lvl w:ilvl="0" w:tplc="4409000F">
      <w:start w:val="1"/>
      <w:numFmt w:val="decimal"/>
      <w:lvlText w:val="%1."/>
      <w:lvlJc w:val="left"/>
      <w:pPr>
        <w:ind w:left="2160" w:hanging="360"/>
      </w:pPr>
      <w:rPr>
        <w:rFonts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2DA9"/>
    <w:rsid w:val="0000103E"/>
    <w:rsid w:val="00003CF1"/>
    <w:rsid w:val="00012152"/>
    <w:rsid w:val="00036CE9"/>
    <w:rsid w:val="000421D9"/>
    <w:rsid w:val="000449EA"/>
    <w:rsid w:val="00066194"/>
    <w:rsid w:val="00066BA8"/>
    <w:rsid w:val="00076450"/>
    <w:rsid w:val="0008438A"/>
    <w:rsid w:val="00090B36"/>
    <w:rsid w:val="00091936"/>
    <w:rsid w:val="000A1D42"/>
    <w:rsid w:val="000A5451"/>
    <w:rsid w:val="000A6218"/>
    <w:rsid w:val="000B01C0"/>
    <w:rsid w:val="000C03B2"/>
    <w:rsid w:val="000C2C96"/>
    <w:rsid w:val="000C7159"/>
    <w:rsid w:val="000E2648"/>
    <w:rsid w:val="000E43CA"/>
    <w:rsid w:val="00114151"/>
    <w:rsid w:val="00116553"/>
    <w:rsid w:val="0013004F"/>
    <w:rsid w:val="001336C5"/>
    <w:rsid w:val="00133905"/>
    <w:rsid w:val="0014054C"/>
    <w:rsid w:val="00142E6D"/>
    <w:rsid w:val="0014326C"/>
    <w:rsid w:val="001458C0"/>
    <w:rsid w:val="00146A98"/>
    <w:rsid w:val="00146DC7"/>
    <w:rsid w:val="0015297E"/>
    <w:rsid w:val="00153013"/>
    <w:rsid w:val="001548C8"/>
    <w:rsid w:val="00165A65"/>
    <w:rsid w:val="00182874"/>
    <w:rsid w:val="00192D5D"/>
    <w:rsid w:val="001A1EA8"/>
    <w:rsid w:val="001A62C4"/>
    <w:rsid w:val="001B0873"/>
    <w:rsid w:val="001B21AF"/>
    <w:rsid w:val="001B2B5B"/>
    <w:rsid w:val="001B2DA9"/>
    <w:rsid w:val="001B4C8F"/>
    <w:rsid w:val="001C1883"/>
    <w:rsid w:val="001C2E79"/>
    <w:rsid w:val="001D3DC3"/>
    <w:rsid w:val="001E0352"/>
    <w:rsid w:val="001E2B2D"/>
    <w:rsid w:val="001E3015"/>
    <w:rsid w:val="001F0D3B"/>
    <w:rsid w:val="001F7F97"/>
    <w:rsid w:val="0020028E"/>
    <w:rsid w:val="00200EF4"/>
    <w:rsid w:val="00205C81"/>
    <w:rsid w:val="00212F6F"/>
    <w:rsid w:val="00225115"/>
    <w:rsid w:val="00233655"/>
    <w:rsid w:val="00243D47"/>
    <w:rsid w:val="00244CE4"/>
    <w:rsid w:val="00252AE8"/>
    <w:rsid w:val="00252D0A"/>
    <w:rsid w:val="00255447"/>
    <w:rsid w:val="002628AD"/>
    <w:rsid w:val="00265CDB"/>
    <w:rsid w:val="00272F96"/>
    <w:rsid w:val="002739BF"/>
    <w:rsid w:val="00290939"/>
    <w:rsid w:val="0029220F"/>
    <w:rsid w:val="00294288"/>
    <w:rsid w:val="002A2BE9"/>
    <w:rsid w:val="002A4AAE"/>
    <w:rsid w:val="002B5CE8"/>
    <w:rsid w:val="002C1B42"/>
    <w:rsid w:val="002C667D"/>
    <w:rsid w:val="002C7C11"/>
    <w:rsid w:val="002D1C07"/>
    <w:rsid w:val="002D1CF2"/>
    <w:rsid w:val="002D2A19"/>
    <w:rsid w:val="002D4555"/>
    <w:rsid w:val="002D4D8B"/>
    <w:rsid w:val="002D7C2C"/>
    <w:rsid w:val="002E3A6C"/>
    <w:rsid w:val="002F20F3"/>
    <w:rsid w:val="002F4324"/>
    <w:rsid w:val="002F55F4"/>
    <w:rsid w:val="00320771"/>
    <w:rsid w:val="00320900"/>
    <w:rsid w:val="003236BC"/>
    <w:rsid w:val="003240AC"/>
    <w:rsid w:val="003262A1"/>
    <w:rsid w:val="003278D9"/>
    <w:rsid w:val="00332028"/>
    <w:rsid w:val="00341DDB"/>
    <w:rsid w:val="0034263F"/>
    <w:rsid w:val="003437F9"/>
    <w:rsid w:val="00344BA7"/>
    <w:rsid w:val="00345CB9"/>
    <w:rsid w:val="003577ED"/>
    <w:rsid w:val="00357C4F"/>
    <w:rsid w:val="00361609"/>
    <w:rsid w:val="003629DB"/>
    <w:rsid w:val="00366242"/>
    <w:rsid w:val="00367082"/>
    <w:rsid w:val="00370A96"/>
    <w:rsid w:val="0037452A"/>
    <w:rsid w:val="00374D98"/>
    <w:rsid w:val="00383122"/>
    <w:rsid w:val="00391ED0"/>
    <w:rsid w:val="003A6D39"/>
    <w:rsid w:val="003C1D85"/>
    <w:rsid w:val="003C769C"/>
    <w:rsid w:val="003D2452"/>
    <w:rsid w:val="003D2C68"/>
    <w:rsid w:val="003D6828"/>
    <w:rsid w:val="003D6C3B"/>
    <w:rsid w:val="003D7C28"/>
    <w:rsid w:val="003E1712"/>
    <w:rsid w:val="003E3B2B"/>
    <w:rsid w:val="003F25ED"/>
    <w:rsid w:val="004160E5"/>
    <w:rsid w:val="00420C48"/>
    <w:rsid w:val="004230AC"/>
    <w:rsid w:val="00432F6B"/>
    <w:rsid w:val="004407D5"/>
    <w:rsid w:val="00450126"/>
    <w:rsid w:val="00454BA9"/>
    <w:rsid w:val="0046217C"/>
    <w:rsid w:val="00467BA9"/>
    <w:rsid w:val="0047286B"/>
    <w:rsid w:val="00473576"/>
    <w:rsid w:val="00474342"/>
    <w:rsid w:val="004754F3"/>
    <w:rsid w:val="00484FA3"/>
    <w:rsid w:val="004A09AE"/>
    <w:rsid w:val="004B6C94"/>
    <w:rsid w:val="004D3BCF"/>
    <w:rsid w:val="004E0E74"/>
    <w:rsid w:val="004E711A"/>
    <w:rsid w:val="004E7F81"/>
    <w:rsid w:val="005002FB"/>
    <w:rsid w:val="005060F8"/>
    <w:rsid w:val="005165A2"/>
    <w:rsid w:val="00526C3B"/>
    <w:rsid w:val="00534FF4"/>
    <w:rsid w:val="00540127"/>
    <w:rsid w:val="005417CA"/>
    <w:rsid w:val="00556597"/>
    <w:rsid w:val="00557711"/>
    <w:rsid w:val="00560299"/>
    <w:rsid w:val="00561461"/>
    <w:rsid w:val="00561A9D"/>
    <w:rsid w:val="005700FD"/>
    <w:rsid w:val="00570910"/>
    <w:rsid w:val="0057388A"/>
    <w:rsid w:val="005B4A8F"/>
    <w:rsid w:val="005C7434"/>
    <w:rsid w:val="005D60F2"/>
    <w:rsid w:val="00613457"/>
    <w:rsid w:val="00613DC3"/>
    <w:rsid w:val="0061586E"/>
    <w:rsid w:val="006238C6"/>
    <w:rsid w:val="00630486"/>
    <w:rsid w:val="00641EAA"/>
    <w:rsid w:val="006556EE"/>
    <w:rsid w:val="006607F5"/>
    <w:rsid w:val="006631CE"/>
    <w:rsid w:val="00683408"/>
    <w:rsid w:val="006949D8"/>
    <w:rsid w:val="006A2992"/>
    <w:rsid w:val="006A3079"/>
    <w:rsid w:val="006B09C9"/>
    <w:rsid w:val="006B766A"/>
    <w:rsid w:val="006B7F05"/>
    <w:rsid w:val="006C3BE7"/>
    <w:rsid w:val="006C4856"/>
    <w:rsid w:val="006D1E72"/>
    <w:rsid w:val="006D3375"/>
    <w:rsid w:val="006F0761"/>
    <w:rsid w:val="00700981"/>
    <w:rsid w:val="00713196"/>
    <w:rsid w:val="00713917"/>
    <w:rsid w:val="007156F9"/>
    <w:rsid w:val="007204B0"/>
    <w:rsid w:val="00727B11"/>
    <w:rsid w:val="00731F9C"/>
    <w:rsid w:val="00734E78"/>
    <w:rsid w:val="00737614"/>
    <w:rsid w:val="00743B96"/>
    <w:rsid w:val="00746069"/>
    <w:rsid w:val="00753BB2"/>
    <w:rsid w:val="00763E09"/>
    <w:rsid w:val="00765C9F"/>
    <w:rsid w:val="00770A13"/>
    <w:rsid w:val="007711E9"/>
    <w:rsid w:val="00775EC6"/>
    <w:rsid w:val="00782080"/>
    <w:rsid w:val="007825DE"/>
    <w:rsid w:val="0078562C"/>
    <w:rsid w:val="0079524A"/>
    <w:rsid w:val="007A5224"/>
    <w:rsid w:val="007B0D4D"/>
    <w:rsid w:val="007B4089"/>
    <w:rsid w:val="007B46BC"/>
    <w:rsid w:val="007C27B2"/>
    <w:rsid w:val="007D2C07"/>
    <w:rsid w:val="007D33F4"/>
    <w:rsid w:val="007D39BB"/>
    <w:rsid w:val="007D4042"/>
    <w:rsid w:val="007D6FCE"/>
    <w:rsid w:val="007E0C08"/>
    <w:rsid w:val="007E540B"/>
    <w:rsid w:val="007E7590"/>
    <w:rsid w:val="007E7C1B"/>
    <w:rsid w:val="007F6339"/>
    <w:rsid w:val="00823493"/>
    <w:rsid w:val="00862A4F"/>
    <w:rsid w:val="008634D7"/>
    <w:rsid w:val="00866ABC"/>
    <w:rsid w:val="00867AFA"/>
    <w:rsid w:val="00870C6F"/>
    <w:rsid w:val="008750EB"/>
    <w:rsid w:val="008755E9"/>
    <w:rsid w:val="008813B0"/>
    <w:rsid w:val="00890C92"/>
    <w:rsid w:val="008A19A7"/>
    <w:rsid w:val="008A5440"/>
    <w:rsid w:val="008B487E"/>
    <w:rsid w:val="008C3268"/>
    <w:rsid w:val="008C57FE"/>
    <w:rsid w:val="008E7202"/>
    <w:rsid w:val="00900E45"/>
    <w:rsid w:val="00904B34"/>
    <w:rsid w:val="00921085"/>
    <w:rsid w:val="00921A7F"/>
    <w:rsid w:val="0092727C"/>
    <w:rsid w:val="009665BA"/>
    <w:rsid w:val="0096699F"/>
    <w:rsid w:val="00970A54"/>
    <w:rsid w:val="00977F46"/>
    <w:rsid w:val="009800DD"/>
    <w:rsid w:val="009903C3"/>
    <w:rsid w:val="00990948"/>
    <w:rsid w:val="009A25F3"/>
    <w:rsid w:val="009A50CB"/>
    <w:rsid w:val="009B47A5"/>
    <w:rsid w:val="009B62A9"/>
    <w:rsid w:val="009B7E5B"/>
    <w:rsid w:val="009C41AE"/>
    <w:rsid w:val="009D1E13"/>
    <w:rsid w:val="009E2B69"/>
    <w:rsid w:val="009E75F6"/>
    <w:rsid w:val="009F4DE2"/>
    <w:rsid w:val="00A07A72"/>
    <w:rsid w:val="00A12944"/>
    <w:rsid w:val="00A16E8C"/>
    <w:rsid w:val="00A20B82"/>
    <w:rsid w:val="00A21350"/>
    <w:rsid w:val="00A27F93"/>
    <w:rsid w:val="00A432B3"/>
    <w:rsid w:val="00A45152"/>
    <w:rsid w:val="00A4715B"/>
    <w:rsid w:val="00A5327D"/>
    <w:rsid w:val="00A66B66"/>
    <w:rsid w:val="00A73F0C"/>
    <w:rsid w:val="00A8359B"/>
    <w:rsid w:val="00A841D4"/>
    <w:rsid w:val="00AA146A"/>
    <w:rsid w:val="00AA6171"/>
    <w:rsid w:val="00AB73D2"/>
    <w:rsid w:val="00AC3104"/>
    <w:rsid w:val="00AC7F9D"/>
    <w:rsid w:val="00AE1CB0"/>
    <w:rsid w:val="00AE7EDB"/>
    <w:rsid w:val="00AF2ED8"/>
    <w:rsid w:val="00AF50A9"/>
    <w:rsid w:val="00B03ABB"/>
    <w:rsid w:val="00B058BD"/>
    <w:rsid w:val="00B0740E"/>
    <w:rsid w:val="00B13BBD"/>
    <w:rsid w:val="00B21EBC"/>
    <w:rsid w:val="00B26AFF"/>
    <w:rsid w:val="00B43E69"/>
    <w:rsid w:val="00B4723D"/>
    <w:rsid w:val="00B60D49"/>
    <w:rsid w:val="00B6347D"/>
    <w:rsid w:val="00B67A46"/>
    <w:rsid w:val="00B95814"/>
    <w:rsid w:val="00BA58F5"/>
    <w:rsid w:val="00BB4301"/>
    <w:rsid w:val="00BC2C2C"/>
    <w:rsid w:val="00BD3630"/>
    <w:rsid w:val="00BD4FD6"/>
    <w:rsid w:val="00BD648F"/>
    <w:rsid w:val="00BD6CDD"/>
    <w:rsid w:val="00BF18B0"/>
    <w:rsid w:val="00C022A1"/>
    <w:rsid w:val="00C035FC"/>
    <w:rsid w:val="00C0721B"/>
    <w:rsid w:val="00C125F5"/>
    <w:rsid w:val="00C172C5"/>
    <w:rsid w:val="00C20EF1"/>
    <w:rsid w:val="00C27597"/>
    <w:rsid w:val="00C2762D"/>
    <w:rsid w:val="00C34F1F"/>
    <w:rsid w:val="00C4203F"/>
    <w:rsid w:val="00C4299E"/>
    <w:rsid w:val="00C469A5"/>
    <w:rsid w:val="00C52A89"/>
    <w:rsid w:val="00C54A17"/>
    <w:rsid w:val="00C54B6E"/>
    <w:rsid w:val="00C717E7"/>
    <w:rsid w:val="00C850A6"/>
    <w:rsid w:val="00C93839"/>
    <w:rsid w:val="00C93E99"/>
    <w:rsid w:val="00C9495F"/>
    <w:rsid w:val="00C97B22"/>
    <w:rsid w:val="00CA2303"/>
    <w:rsid w:val="00CA4C35"/>
    <w:rsid w:val="00CB2DC8"/>
    <w:rsid w:val="00CB6CBB"/>
    <w:rsid w:val="00CC13F3"/>
    <w:rsid w:val="00CC1A79"/>
    <w:rsid w:val="00CC7F40"/>
    <w:rsid w:val="00CD0E82"/>
    <w:rsid w:val="00CD0FA2"/>
    <w:rsid w:val="00CE3B72"/>
    <w:rsid w:val="00CF1599"/>
    <w:rsid w:val="00CF2541"/>
    <w:rsid w:val="00CF780A"/>
    <w:rsid w:val="00D04E00"/>
    <w:rsid w:val="00D06E89"/>
    <w:rsid w:val="00D07295"/>
    <w:rsid w:val="00D1017C"/>
    <w:rsid w:val="00D27856"/>
    <w:rsid w:val="00D312FA"/>
    <w:rsid w:val="00D37F37"/>
    <w:rsid w:val="00D444FC"/>
    <w:rsid w:val="00D45EA3"/>
    <w:rsid w:val="00D61D24"/>
    <w:rsid w:val="00D659D7"/>
    <w:rsid w:val="00D670AA"/>
    <w:rsid w:val="00D7398D"/>
    <w:rsid w:val="00D75A78"/>
    <w:rsid w:val="00D87E5A"/>
    <w:rsid w:val="00D97A7B"/>
    <w:rsid w:val="00DA33B8"/>
    <w:rsid w:val="00DA4239"/>
    <w:rsid w:val="00DA4551"/>
    <w:rsid w:val="00DA7C6F"/>
    <w:rsid w:val="00DB2130"/>
    <w:rsid w:val="00DB50A2"/>
    <w:rsid w:val="00DB6457"/>
    <w:rsid w:val="00DC32C6"/>
    <w:rsid w:val="00DC7D3B"/>
    <w:rsid w:val="00DD0916"/>
    <w:rsid w:val="00DD1098"/>
    <w:rsid w:val="00DE1BAA"/>
    <w:rsid w:val="00DE1CBD"/>
    <w:rsid w:val="00DE4CB8"/>
    <w:rsid w:val="00DE7EAA"/>
    <w:rsid w:val="00DF2D1C"/>
    <w:rsid w:val="00DF423C"/>
    <w:rsid w:val="00DF5566"/>
    <w:rsid w:val="00E03AAF"/>
    <w:rsid w:val="00E07F06"/>
    <w:rsid w:val="00E1492C"/>
    <w:rsid w:val="00E161D4"/>
    <w:rsid w:val="00E2248B"/>
    <w:rsid w:val="00E24FEB"/>
    <w:rsid w:val="00E267D1"/>
    <w:rsid w:val="00E26B3D"/>
    <w:rsid w:val="00E374BD"/>
    <w:rsid w:val="00E42F33"/>
    <w:rsid w:val="00E43131"/>
    <w:rsid w:val="00E53302"/>
    <w:rsid w:val="00E741FC"/>
    <w:rsid w:val="00E74912"/>
    <w:rsid w:val="00E80990"/>
    <w:rsid w:val="00E96C61"/>
    <w:rsid w:val="00EA24BA"/>
    <w:rsid w:val="00EA5449"/>
    <w:rsid w:val="00EA55A6"/>
    <w:rsid w:val="00EA7DDB"/>
    <w:rsid w:val="00EB28A1"/>
    <w:rsid w:val="00EB7F6A"/>
    <w:rsid w:val="00EC5CBA"/>
    <w:rsid w:val="00EC7F98"/>
    <w:rsid w:val="00ED0150"/>
    <w:rsid w:val="00ED3688"/>
    <w:rsid w:val="00EE1654"/>
    <w:rsid w:val="00EE24A7"/>
    <w:rsid w:val="00F0077C"/>
    <w:rsid w:val="00F02036"/>
    <w:rsid w:val="00F02A1C"/>
    <w:rsid w:val="00F05F01"/>
    <w:rsid w:val="00F12523"/>
    <w:rsid w:val="00F15B49"/>
    <w:rsid w:val="00F2756C"/>
    <w:rsid w:val="00F307C1"/>
    <w:rsid w:val="00F42D32"/>
    <w:rsid w:val="00F51B3E"/>
    <w:rsid w:val="00F53620"/>
    <w:rsid w:val="00F55404"/>
    <w:rsid w:val="00F57AFD"/>
    <w:rsid w:val="00F6369B"/>
    <w:rsid w:val="00F757C5"/>
    <w:rsid w:val="00F811FF"/>
    <w:rsid w:val="00F96A1D"/>
    <w:rsid w:val="00FA1A83"/>
    <w:rsid w:val="00FA60BB"/>
    <w:rsid w:val="00FB1256"/>
    <w:rsid w:val="00FC15C7"/>
    <w:rsid w:val="00FC74D0"/>
    <w:rsid w:val="00FD5BC4"/>
    <w:rsid w:val="00FE2AD3"/>
    <w:rsid w:val="00FF3033"/>
    <w:rsid w:val="00FF7BB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C71A6"/>
  <w15:docId w15:val="{BEB9C9B6-D67A-4F42-B3A3-B54A916B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B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607F5"/>
    <w:rPr>
      <w:sz w:val="20"/>
      <w:szCs w:val="20"/>
    </w:rPr>
  </w:style>
  <w:style w:type="character" w:styleId="FootnoteReference">
    <w:name w:val="footnote reference"/>
    <w:basedOn w:val="DefaultParagraphFont"/>
    <w:semiHidden/>
    <w:rsid w:val="006607F5"/>
    <w:rPr>
      <w:vertAlign w:val="superscript"/>
    </w:rPr>
  </w:style>
  <w:style w:type="character" w:styleId="Hyperlink">
    <w:name w:val="Hyperlink"/>
    <w:basedOn w:val="DefaultParagraphFont"/>
    <w:rsid w:val="00391ED0"/>
    <w:rPr>
      <w:color w:val="0000FF"/>
      <w:u w:val="single"/>
    </w:rPr>
  </w:style>
  <w:style w:type="paragraph" w:styleId="NormalWeb">
    <w:name w:val="Normal (Web)"/>
    <w:basedOn w:val="Normal"/>
    <w:rsid w:val="00391ED0"/>
    <w:pPr>
      <w:spacing w:before="100" w:beforeAutospacing="1" w:after="100" w:afterAutospacing="1"/>
    </w:pPr>
  </w:style>
  <w:style w:type="character" w:styleId="Strong">
    <w:name w:val="Strong"/>
    <w:basedOn w:val="DefaultParagraphFont"/>
    <w:qFormat/>
    <w:rsid w:val="0096699F"/>
    <w:rPr>
      <w:b/>
      <w:bCs/>
    </w:rPr>
  </w:style>
  <w:style w:type="character" w:customStyle="1" w:styleId="bodycopy1">
    <w:name w:val="bodycopy1"/>
    <w:basedOn w:val="DefaultParagraphFont"/>
    <w:rsid w:val="00142E6D"/>
    <w:rPr>
      <w:rFonts w:ascii="Verdana" w:hAnsi="Verdana" w:hint="default"/>
      <w:color w:val="000000"/>
      <w:sz w:val="11"/>
      <w:szCs w:val="11"/>
    </w:rPr>
  </w:style>
  <w:style w:type="paragraph" w:styleId="Header">
    <w:name w:val="header"/>
    <w:basedOn w:val="Normal"/>
    <w:link w:val="HeaderChar"/>
    <w:uiPriority w:val="99"/>
    <w:rsid w:val="00CB6CBB"/>
    <w:pPr>
      <w:tabs>
        <w:tab w:val="center" w:pos="4320"/>
        <w:tab w:val="right" w:pos="8640"/>
      </w:tabs>
    </w:pPr>
  </w:style>
  <w:style w:type="paragraph" w:styleId="Footer">
    <w:name w:val="footer"/>
    <w:basedOn w:val="Normal"/>
    <w:rsid w:val="00CB6CBB"/>
    <w:pPr>
      <w:tabs>
        <w:tab w:val="center" w:pos="4320"/>
        <w:tab w:val="right" w:pos="8640"/>
      </w:tabs>
    </w:pPr>
  </w:style>
  <w:style w:type="character" w:styleId="PageNumber">
    <w:name w:val="page number"/>
    <w:basedOn w:val="DefaultParagraphFont"/>
    <w:rsid w:val="00CB6CBB"/>
  </w:style>
  <w:style w:type="table" w:styleId="TableGrid">
    <w:name w:val="Table Grid"/>
    <w:basedOn w:val="TableNormal"/>
    <w:rsid w:val="00C97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D98"/>
    <w:pPr>
      <w:ind w:left="720"/>
      <w:contextualSpacing/>
    </w:pPr>
  </w:style>
  <w:style w:type="character" w:customStyle="1" w:styleId="HeaderChar">
    <w:name w:val="Header Char"/>
    <w:basedOn w:val="DefaultParagraphFont"/>
    <w:link w:val="Header"/>
    <w:uiPriority w:val="99"/>
    <w:rsid w:val="001E30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458318">
      <w:bodyDiv w:val="1"/>
      <w:marLeft w:val="0"/>
      <w:marRight w:val="0"/>
      <w:marTop w:val="0"/>
      <w:marBottom w:val="0"/>
      <w:divBdr>
        <w:top w:val="none" w:sz="0" w:space="0" w:color="auto"/>
        <w:left w:val="none" w:sz="0" w:space="0" w:color="auto"/>
        <w:bottom w:val="none" w:sz="0" w:space="0" w:color="auto"/>
        <w:right w:val="none" w:sz="0" w:space="0" w:color="auto"/>
      </w:divBdr>
      <w:divsChild>
        <w:div w:id="1382024878">
          <w:marLeft w:val="0"/>
          <w:marRight w:val="0"/>
          <w:marTop w:val="0"/>
          <w:marBottom w:val="0"/>
          <w:divBdr>
            <w:top w:val="none" w:sz="0" w:space="0" w:color="auto"/>
            <w:left w:val="none" w:sz="0" w:space="0" w:color="auto"/>
            <w:bottom w:val="none" w:sz="0" w:space="0" w:color="auto"/>
            <w:right w:val="none" w:sz="0" w:space="0" w:color="auto"/>
          </w:divBdr>
          <w:divsChild>
            <w:div w:id="1252935968">
              <w:marLeft w:val="0"/>
              <w:marRight w:val="0"/>
              <w:marTop w:val="0"/>
              <w:marBottom w:val="0"/>
              <w:divBdr>
                <w:top w:val="none" w:sz="0" w:space="0" w:color="auto"/>
                <w:left w:val="none" w:sz="0" w:space="0" w:color="auto"/>
                <w:bottom w:val="none" w:sz="0" w:space="0" w:color="auto"/>
                <w:right w:val="none" w:sz="0" w:space="0" w:color="auto"/>
              </w:divBdr>
            </w:div>
            <w:div w:id="19097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30475">
      <w:bodyDiv w:val="1"/>
      <w:marLeft w:val="0"/>
      <w:marRight w:val="0"/>
      <w:marTop w:val="0"/>
      <w:marBottom w:val="0"/>
      <w:divBdr>
        <w:top w:val="none" w:sz="0" w:space="0" w:color="auto"/>
        <w:left w:val="none" w:sz="0" w:space="0" w:color="auto"/>
        <w:bottom w:val="none" w:sz="0" w:space="0" w:color="auto"/>
        <w:right w:val="none" w:sz="0" w:space="0" w:color="auto"/>
      </w:divBdr>
      <w:divsChild>
        <w:div w:id="403334060">
          <w:marLeft w:val="0"/>
          <w:marRight w:val="0"/>
          <w:marTop w:val="0"/>
          <w:marBottom w:val="0"/>
          <w:divBdr>
            <w:top w:val="none" w:sz="0" w:space="0" w:color="auto"/>
            <w:left w:val="none" w:sz="0" w:space="0" w:color="auto"/>
            <w:bottom w:val="none" w:sz="0" w:space="0" w:color="auto"/>
            <w:right w:val="none" w:sz="0" w:space="0" w:color="auto"/>
          </w:divBdr>
          <w:divsChild>
            <w:div w:id="439374254">
              <w:marLeft w:val="0"/>
              <w:marRight w:val="0"/>
              <w:marTop w:val="0"/>
              <w:marBottom w:val="0"/>
              <w:divBdr>
                <w:top w:val="none" w:sz="0" w:space="0" w:color="auto"/>
                <w:left w:val="none" w:sz="0" w:space="0" w:color="auto"/>
                <w:bottom w:val="none" w:sz="0" w:space="0" w:color="auto"/>
                <w:right w:val="none" w:sz="0" w:space="0" w:color="auto"/>
              </w:divBdr>
              <w:divsChild>
                <w:div w:id="1497108809">
                  <w:marLeft w:val="0"/>
                  <w:marRight w:val="0"/>
                  <w:marTop w:val="0"/>
                  <w:marBottom w:val="0"/>
                  <w:divBdr>
                    <w:top w:val="none" w:sz="0" w:space="0" w:color="auto"/>
                    <w:left w:val="none" w:sz="0" w:space="0" w:color="auto"/>
                    <w:bottom w:val="none" w:sz="0" w:space="0" w:color="auto"/>
                    <w:right w:val="none" w:sz="0" w:space="0" w:color="auto"/>
                  </w:divBdr>
                  <w:divsChild>
                    <w:div w:id="1205410800">
                      <w:marLeft w:val="0"/>
                      <w:marRight w:val="0"/>
                      <w:marTop w:val="0"/>
                      <w:marBottom w:val="0"/>
                      <w:divBdr>
                        <w:top w:val="none" w:sz="0" w:space="0" w:color="auto"/>
                        <w:left w:val="none" w:sz="0" w:space="0" w:color="auto"/>
                        <w:bottom w:val="none" w:sz="0" w:space="0" w:color="auto"/>
                        <w:right w:val="none" w:sz="0" w:space="0" w:color="auto"/>
                      </w:divBdr>
                      <w:divsChild>
                        <w:div w:id="1960061818">
                          <w:marLeft w:val="0"/>
                          <w:marRight w:val="0"/>
                          <w:marTop w:val="0"/>
                          <w:marBottom w:val="0"/>
                          <w:divBdr>
                            <w:top w:val="none" w:sz="0" w:space="0" w:color="auto"/>
                            <w:left w:val="none" w:sz="0" w:space="0" w:color="auto"/>
                            <w:bottom w:val="none" w:sz="0" w:space="0" w:color="auto"/>
                            <w:right w:val="none" w:sz="0" w:space="0" w:color="auto"/>
                          </w:divBdr>
                        </w:div>
                        <w:div w:id="2009404827">
                          <w:marLeft w:val="0"/>
                          <w:marRight w:val="0"/>
                          <w:marTop w:val="0"/>
                          <w:marBottom w:val="0"/>
                          <w:divBdr>
                            <w:top w:val="none" w:sz="0" w:space="0" w:color="auto"/>
                            <w:left w:val="none" w:sz="0" w:space="0" w:color="auto"/>
                            <w:bottom w:val="none" w:sz="0" w:space="0" w:color="auto"/>
                            <w:right w:val="none" w:sz="0" w:space="0" w:color="auto"/>
                          </w:divBdr>
                          <w:divsChild>
                            <w:div w:id="2128963167">
                              <w:marLeft w:val="0"/>
                              <w:marRight w:val="0"/>
                              <w:marTop w:val="0"/>
                              <w:marBottom w:val="0"/>
                              <w:divBdr>
                                <w:top w:val="none" w:sz="0" w:space="0" w:color="auto"/>
                                <w:left w:val="none" w:sz="0" w:space="0" w:color="auto"/>
                                <w:bottom w:val="none" w:sz="0" w:space="0" w:color="auto"/>
                                <w:right w:val="none" w:sz="0" w:space="0" w:color="auto"/>
                              </w:divBdr>
                              <w:divsChild>
                                <w:div w:id="2091926966">
                                  <w:marLeft w:val="0"/>
                                  <w:marRight w:val="0"/>
                                  <w:marTop w:val="0"/>
                                  <w:marBottom w:val="0"/>
                                  <w:divBdr>
                                    <w:top w:val="none" w:sz="0" w:space="0" w:color="auto"/>
                                    <w:left w:val="none" w:sz="0" w:space="0" w:color="auto"/>
                                    <w:bottom w:val="none" w:sz="0" w:space="0" w:color="auto"/>
                                    <w:right w:val="none" w:sz="0" w:space="0" w:color="auto"/>
                                  </w:divBdr>
                                  <w:divsChild>
                                    <w:div w:id="20603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80588">
                          <w:marLeft w:val="0"/>
                          <w:marRight w:val="0"/>
                          <w:marTop w:val="0"/>
                          <w:marBottom w:val="0"/>
                          <w:divBdr>
                            <w:top w:val="none" w:sz="0" w:space="0" w:color="auto"/>
                            <w:left w:val="none" w:sz="0" w:space="0" w:color="auto"/>
                            <w:bottom w:val="none" w:sz="0" w:space="0" w:color="auto"/>
                            <w:right w:val="none" w:sz="0" w:space="0" w:color="auto"/>
                          </w:divBdr>
                          <w:divsChild>
                            <w:div w:id="1567180251">
                              <w:marLeft w:val="0"/>
                              <w:marRight w:val="0"/>
                              <w:marTop w:val="0"/>
                              <w:marBottom w:val="0"/>
                              <w:divBdr>
                                <w:top w:val="none" w:sz="0" w:space="0" w:color="auto"/>
                                <w:left w:val="none" w:sz="0" w:space="0" w:color="auto"/>
                                <w:bottom w:val="none" w:sz="0" w:space="0" w:color="auto"/>
                                <w:right w:val="none" w:sz="0" w:space="0" w:color="auto"/>
                              </w:divBdr>
                              <w:divsChild>
                                <w:div w:id="672683190">
                                  <w:marLeft w:val="0"/>
                                  <w:marRight w:val="0"/>
                                  <w:marTop w:val="0"/>
                                  <w:marBottom w:val="0"/>
                                  <w:divBdr>
                                    <w:top w:val="none" w:sz="0" w:space="0" w:color="auto"/>
                                    <w:left w:val="none" w:sz="0" w:space="0" w:color="auto"/>
                                    <w:bottom w:val="none" w:sz="0" w:space="0" w:color="auto"/>
                                    <w:right w:val="none" w:sz="0" w:space="0" w:color="auto"/>
                                  </w:divBdr>
                                  <w:divsChild>
                                    <w:div w:id="2075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465251">
      <w:bodyDiv w:val="1"/>
      <w:marLeft w:val="0"/>
      <w:marRight w:val="0"/>
      <w:marTop w:val="0"/>
      <w:marBottom w:val="0"/>
      <w:divBdr>
        <w:top w:val="none" w:sz="0" w:space="0" w:color="auto"/>
        <w:left w:val="none" w:sz="0" w:space="0" w:color="auto"/>
        <w:bottom w:val="none" w:sz="0" w:space="0" w:color="auto"/>
        <w:right w:val="none" w:sz="0" w:space="0" w:color="auto"/>
      </w:divBdr>
      <w:divsChild>
        <w:div w:id="328290432">
          <w:marLeft w:val="0"/>
          <w:marRight w:val="0"/>
          <w:marTop w:val="0"/>
          <w:marBottom w:val="0"/>
          <w:divBdr>
            <w:top w:val="none" w:sz="0" w:space="0" w:color="auto"/>
            <w:left w:val="none" w:sz="0" w:space="0" w:color="auto"/>
            <w:bottom w:val="none" w:sz="0" w:space="0" w:color="auto"/>
            <w:right w:val="none" w:sz="0" w:space="0" w:color="auto"/>
          </w:divBdr>
          <w:divsChild>
            <w:div w:id="11800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50949">
      <w:bodyDiv w:val="1"/>
      <w:marLeft w:val="0"/>
      <w:marRight w:val="0"/>
      <w:marTop w:val="0"/>
      <w:marBottom w:val="0"/>
      <w:divBdr>
        <w:top w:val="none" w:sz="0" w:space="0" w:color="auto"/>
        <w:left w:val="none" w:sz="0" w:space="0" w:color="auto"/>
        <w:bottom w:val="none" w:sz="0" w:space="0" w:color="auto"/>
        <w:right w:val="none" w:sz="0" w:space="0" w:color="auto"/>
      </w:divBdr>
      <w:divsChild>
        <w:div w:id="1689257233">
          <w:marLeft w:val="0"/>
          <w:marRight w:val="0"/>
          <w:marTop w:val="0"/>
          <w:marBottom w:val="0"/>
          <w:divBdr>
            <w:top w:val="none" w:sz="0" w:space="0" w:color="auto"/>
            <w:left w:val="none" w:sz="0" w:space="0" w:color="auto"/>
            <w:bottom w:val="none" w:sz="0" w:space="0" w:color="auto"/>
            <w:right w:val="none" w:sz="0" w:space="0" w:color="auto"/>
          </w:divBdr>
          <w:divsChild>
            <w:div w:id="1201548887">
              <w:marLeft w:val="0"/>
              <w:marRight w:val="0"/>
              <w:marTop w:val="0"/>
              <w:marBottom w:val="0"/>
              <w:divBdr>
                <w:top w:val="none" w:sz="0" w:space="0" w:color="auto"/>
                <w:left w:val="none" w:sz="0" w:space="0" w:color="auto"/>
                <w:bottom w:val="none" w:sz="0" w:space="0" w:color="auto"/>
                <w:right w:val="none" w:sz="0" w:space="0" w:color="auto"/>
              </w:divBdr>
              <w:divsChild>
                <w:div w:id="782462198">
                  <w:marLeft w:val="0"/>
                  <w:marRight w:val="0"/>
                  <w:marTop w:val="0"/>
                  <w:marBottom w:val="0"/>
                  <w:divBdr>
                    <w:top w:val="none" w:sz="0" w:space="0" w:color="auto"/>
                    <w:left w:val="none" w:sz="0" w:space="0" w:color="auto"/>
                    <w:bottom w:val="none" w:sz="0" w:space="0" w:color="auto"/>
                    <w:right w:val="none" w:sz="0" w:space="0" w:color="auto"/>
                  </w:divBdr>
                  <w:divsChild>
                    <w:div w:id="238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48446">
      <w:bodyDiv w:val="1"/>
      <w:marLeft w:val="0"/>
      <w:marRight w:val="0"/>
      <w:marTop w:val="0"/>
      <w:marBottom w:val="0"/>
      <w:divBdr>
        <w:top w:val="none" w:sz="0" w:space="0" w:color="auto"/>
        <w:left w:val="none" w:sz="0" w:space="0" w:color="auto"/>
        <w:bottom w:val="none" w:sz="0" w:space="0" w:color="auto"/>
        <w:right w:val="none" w:sz="0" w:space="0" w:color="auto"/>
      </w:divBdr>
      <w:divsChild>
        <w:div w:id="1886721532">
          <w:marLeft w:val="0"/>
          <w:marRight w:val="0"/>
          <w:marTop w:val="0"/>
          <w:marBottom w:val="0"/>
          <w:divBdr>
            <w:top w:val="none" w:sz="0" w:space="0" w:color="auto"/>
            <w:left w:val="none" w:sz="0" w:space="0" w:color="auto"/>
            <w:bottom w:val="none" w:sz="0" w:space="0" w:color="auto"/>
            <w:right w:val="none" w:sz="0" w:space="0" w:color="auto"/>
          </w:divBdr>
          <w:divsChild>
            <w:div w:id="1368219851">
              <w:marLeft w:val="0"/>
              <w:marRight w:val="0"/>
              <w:marTop w:val="0"/>
              <w:marBottom w:val="0"/>
              <w:divBdr>
                <w:top w:val="none" w:sz="0" w:space="0" w:color="auto"/>
                <w:left w:val="none" w:sz="0" w:space="0" w:color="auto"/>
                <w:bottom w:val="none" w:sz="0" w:space="0" w:color="auto"/>
                <w:right w:val="none" w:sz="0" w:space="0" w:color="auto"/>
              </w:divBdr>
              <w:divsChild>
                <w:div w:id="1987584835">
                  <w:marLeft w:val="0"/>
                  <w:marRight w:val="0"/>
                  <w:marTop w:val="0"/>
                  <w:marBottom w:val="0"/>
                  <w:divBdr>
                    <w:top w:val="none" w:sz="0" w:space="0" w:color="auto"/>
                    <w:left w:val="none" w:sz="0" w:space="0" w:color="auto"/>
                    <w:bottom w:val="none" w:sz="0" w:space="0" w:color="auto"/>
                    <w:right w:val="none" w:sz="0" w:space="0" w:color="auto"/>
                  </w:divBdr>
                  <w:divsChild>
                    <w:div w:id="4178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dis@ukm.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warmurni@kuis.edu.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5693</CharactersWithSpaces>
  <SharedDoc>false</SharedDoc>
  <HLinks>
    <vt:vector size="6" baseType="variant">
      <vt:variant>
        <vt:i4>5963782</vt:i4>
      </vt:variant>
      <vt:variant>
        <vt:i4>6</vt:i4>
      </vt:variant>
      <vt:variant>
        <vt:i4>0</vt:i4>
      </vt:variant>
      <vt:variant>
        <vt:i4>5</vt:i4>
      </vt:variant>
      <vt:variant>
        <vt:lpwstr>http://www.asianinfo.org/asianinfo/korea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Mawar Murni Yunus</cp:lastModifiedBy>
  <cp:revision>23</cp:revision>
  <dcterms:created xsi:type="dcterms:W3CDTF">2010-03-11T22:53:00Z</dcterms:created>
  <dcterms:modified xsi:type="dcterms:W3CDTF">2015-11-25T09:47:00Z</dcterms:modified>
</cp:coreProperties>
</file>