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Title of the Paper (16pt Times New Roman, Bold, Centered)</w:t>
      </w:r>
    </w:p>
    <w:p w:rsidR="00000000" w:rsidDel="00000000" w:rsidP="00000000" w:rsidRDefault="00000000" w:rsidRPr="00000000" w14:paraId="00000002">
      <w:pPr>
        <w:spacing w:after="0"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(Leave two spaces here)</w:t>
      </w:r>
    </w:p>
    <w:p w:rsidR="00000000" w:rsidDel="00000000" w:rsidP="00000000" w:rsidRDefault="00000000" w:rsidRPr="00000000" w14:paraId="00000003">
      <w:pPr>
        <w:spacing w:after="0" w:line="240" w:lineRule="auto"/>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Author</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Second Author</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and Third Author</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Full address of first author including affiliation</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Full address of second author including affiliation</w:t>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Full address of third author including affiliation</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*Corresponding author: author@university.edu.</w:t>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12pt Times New Roman and Centered)</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i w:val="1"/>
          <w:sz w:val="24"/>
          <w:szCs w:val="24"/>
        </w:rPr>
      </w:pPr>
      <w:bookmarkStart w:colFirst="0" w:colLast="0" w:name="_heading=h.1fob9te" w:id="0"/>
      <w:bookmarkEnd w:id="0"/>
      <w:r w:rsidDel="00000000" w:rsidR="00000000" w:rsidRPr="00000000">
        <w:rPr>
          <w:rFonts w:ascii="Times New Roman" w:cs="Times New Roman" w:eastAsia="Times New Roman" w:hAnsi="Times New Roman"/>
          <w:i w:val="1"/>
          <w:sz w:val="24"/>
          <w:szCs w:val="24"/>
          <w:rtl w:val="0"/>
        </w:rPr>
        <w:t xml:space="preserve">(Leave two spaces here)</w:t>
      </w:r>
    </w:p>
    <w:p w:rsidR="00000000" w:rsidDel="00000000" w:rsidP="00000000" w:rsidRDefault="00000000" w:rsidRPr="00000000" w14:paraId="0000000C">
      <w:pPr>
        <w:pStyle w:val="Heading2"/>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ABSTRACT</w:t>
      </w:r>
      <w:r w:rsidDel="00000000" w:rsidR="00000000" w:rsidRPr="00000000">
        <w:rPr>
          <w:rFonts w:ascii="Times New Roman" w:cs="Times New Roman" w:eastAsia="Times New Roman" w:hAnsi="Times New Roman"/>
          <w:color w:val="000000"/>
          <w:sz w:val="24"/>
          <w:szCs w:val="24"/>
          <w:rtl w:val="0"/>
        </w:rPr>
        <w:t xml:space="preserve"> (Capitalize, Centered &amp; Italicize)</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is a sample of the format of your paper. A minimum of 7 A4-sized pages (21 x 29.7 cm) pages with top, bottom left and right margins of 2.54 cm. Use a single space. Use 10pt size Times New Roman. Texts are justified.</w:t>
      </w:r>
    </w:p>
    <w:p w:rsidR="00000000" w:rsidDel="00000000" w:rsidP="00000000" w:rsidRDefault="00000000" w:rsidRPr="00000000" w14:paraId="0000000E">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(Leave one space here)</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Keywords: Write your keywords</w:t>
      </w:r>
      <w:r w:rsidDel="00000000" w:rsidR="00000000" w:rsidRPr="00000000">
        <w:rPr>
          <w:rFonts w:ascii="Times New Roman" w:cs="Times New Roman" w:eastAsia="Times New Roman" w:hAnsi="Times New Roman"/>
          <w:sz w:val="20"/>
          <w:szCs w:val="20"/>
          <w:rtl w:val="0"/>
        </w:rPr>
        <w:t xml:space="preserve"> (max 5) (Capitalize the first letter of the first keyword only, separate each keyword with a comma)</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4"/>
          <w:szCs w:val="24"/>
          <w:rtl w:val="0"/>
        </w:rPr>
        <w:t xml:space="preserve">(Leave two spaces here)</w:t>
      </w:r>
      <w:r w:rsidDel="00000000" w:rsidR="00000000" w:rsidRPr="00000000">
        <w:rPr>
          <w:rtl w:val="0"/>
        </w:rPr>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INTRODUCTION (14pt Times New Roman)</w:t>
      </w:r>
    </w:p>
    <w:p w:rsidR="00000000" w:rsidDel="00000000" w:rsidP="00000000" w:rsidRDefault="00000000" w:rsidRPr="00000000" w14:paraId="00000014">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of the text should be in 12pt Times New Roman. Texts are justified.</w:t>
      </w:r>
    </w:p>
    <w:p w:rsidR="00000000" w:rsidDel="00000000" w:rsidP="00000000" w:rsidRDefault="00000000" w:rsidRPr="00000000" w14:paraId="00000015">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(Leave two spaces here)</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tabs>
          <w:tab w:val="left" w:leader="none" w:pos="360"/>
        </w:tabs>
        <w:spacing w:after="0" w:line="240" w:lineRule="auto"/>
        <w:ind w:left="36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LITERATURE REVIEW (14pt Times New Roman)</w:t>
      </w:r>
    </w:p>
    <w:p w:rsidR="00000000" w:rsidDel="00000000" w:rsidP="00000000" w:rsidRDefault="00000000" w:rsidRPr="00000000" w14:paraId="00000018">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of the text should be in 12pt Times New Roman. Texts are justified.</w:t>
      </w:r>
    </w:p>
    <w:p w:rsidR="00000000" w:rsidDel="00000000" w:rsidP="00000000" w:rsidRDefault="00000000" w:rsidRPr="00000000" w14:paraId="0000001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(Leave two spaces here)</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METHODOLOGY (14pt Times New Roman)</w:t>
      </w:r>
    </w:p>
    <w:p w:rsidR="00000000" w:rsidDel="00000000" w:rsidP="00000000" w:rsidRDefault="00000000" w:rsidRPr="00000000" w14:paraId="0000001C">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of the text should be in 12pt Times New Roman. Mathematical Equations must be numbered as follows: </w:t>
      </w:r>
    </w:p>
    <w:p w:rsidR="00000000" w:rsidDel="00000000" w:rsidP="00000000" w:rsidRDefault="00000000" w:rsidRPr="00000000" w14:paraId="0000001D">
      <w:pPr>
        <w:spacing w:after="0" w:line="240" w:lineRule="auto"/>
        <w:ind w:firstLine="360"/>
        <w:jc w:val="both"/>
        <w:rPr>
          <w:rFonts w:ascii="Times New Roman" w:cs="Times New Roman" w:eastAsia="Times New Roman" w:hAnsi="Times New Roman"/>
          <w:sz w:val="24"/>
          <w:szCs w:val="24"/>
        </w:rPr>
      </w:pPr>
      <w:r w:rsidDel="00000000" w:rsidR="00000000" w:rsidRPr="00000000">
        <w:rPr>
          <w:rtl w:val="0"/>
        </w:rPr>
      </w:r>
    </w:p>
    <w:tbl>
      <w:tblPr>
        <w:tblStyle w:val="Table1"/>
        <w:tblW w:w="902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3"/>
        <w:gridCol w:w="5104"/>
        <w:gridCol w:w="2679"/>
        <w:tblGridChange w:id="0">
          <w:tblGrid>
            <w:gridCol w:w="1243"/>
            <w:gridCol w:w="5104"/>
            <w:gridCol w:w="2679"/>
          </w:tblGrid>
        </w:tblGridChange>
      </w:tblGrid>
      <w:tr>
        <w:trPr>
          <w:cantSplit w:val="0"/>
          <w:tblHeader w:val="0"/>
        </w:trPr>
        <w:tc>
          <w:tcPr>
            <w:shd w:fill="auto" w:val="clear"/>
          </w:tcPr>
          <w:p w:rsidR="00000000" w:rsidDel="00000000" w:rsidP="00000000" w:rsidRDefault="00000000" w:rsidRPr="00000000" w14:paraId="0000001E">
            <w:pPr>
              <w:rPr/>
            </w:pPr>
            <w:r w:rsidDel="00000000" w:rsidR="00000000" w:rsidRPr="00000000">
              <w:rPr>
                <w:rtl w:val="0"/>
              </w:rPr>
            </w:r>
          </w:p>
        </w:tc>
        <w:tc>
          <w:tcPr>
            <w:shd w:fill="auto" w:val="clear"/>
          </w:tcPr>
          <w:p w:rsidR="00000000" w:rsidDel="00000000" w:rsidP="00000000" w:rsidRDefault="00000000" w:rsidRPr="00000000" w14:paraId="0000001F">
            <w:pPr>
              <w:jc w:val="center"/>
              <w:rPr/>
            </w:pPr>
            <w:r w:rsidDel="00000000" w:rsidR="00000000" w:rsidRPr="00000000">
              <w:rPr>
                <w:sz w:val="36"/>
                <w:szCs w:val="36"/>
                <w:vertAlign w:val="subscript"/>
              </w:rPr>
              <w:drawing>
                <wp:inline distB="0" distT="0" distL="114300" distR="114300">
                  <wp:extent cx="2709545" cy="390525"/>
                  <wp:effectExtent b="0" l="0" r="0" t="0"/>
                  <wp:docPr descr="Shape&#10;&#10;Description automatically generated with medium confidence" id="14" name="image2.png"/>
                  <a:graphic>
                    <a:graphicData uri="http://schemas.openxmlformats.org/drawingml/2006/picture">
                      <pic:pic>
                        <pic:nvPicPr>
                          <pic:cNvPr descr="Shape&#10;&#10;Description automatically generated with medium confidence" id="0" name="image2.png"/>
                          <pic:cNvPicPr preferRelativeResize="0"/>
                        </pic:nvPicPr>
                        <pic:blipFill>
                          <a:blip r:embed="rId7"/>
                          <a:srcRect b="0" l="0" r="0" t="0"/>
                          <a:stretch>
                            <a:fillRect/>
                          </a:stretch>
                        </pic:blipFill>
                        <pic:spPr>
                          <a:xfrm>
                            <a:off x="0" y="0"/>
                            <a:ext cx="2709545" cy="390525"/>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3402"/>
                <w:tab w:val="right" w:leader="none" w:pos="7513"/>
                <w:tab w:val="right" w:leader="none" w:pos="9752"/>
              </w:tabs>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p w:rsidR="00000000" w:rsidDel="00000000" w:rsidP="00000000" w:rsidRDefault="00000000" w:rsidRPr="00000000" w14:paraId="00000021">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3402"/>
                <w:tab w:val="right" w:leader="none" w:pos="7513"/>
                <w:tab w:val="center" w:leader="none" w:pos="1985"/>
                <w:tab w:val="right" w:leader="none" w:pos="9752"/>
              </w:tabs>
              <w:spacing w:after="0" w:line="240" w:lineRule="auto"/>
              <w:ind w:right="142" w:hanging="142"/>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357"/>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where,</w:t>
            </w:r>
          </w:p>
        </w:tc>
        <w:tc>
          <w:tcPr>
            <w:shd w:fill="auto" w:val="clear"/>
          </w:tcPr>
          <w:p w:rsidR="00000000" w:rsidDel="00000000" w:rsidP="00000000" w:rsidRDefault="00000000" w:rsidRPr="00000000" w14:paraId="00000024">
            <w:pPr>
              <w:keepNext w:val="1"/>
              <w:keepLines w:val="1"/>
              <w:pBdr>
                <w:top w:space="0" w:sz="0" w:val="nil"/>
                <w:left w:space="0" w:sz="0" w:val="nil"/>
                <w:bottom w:space="0" w:sz="0" w:val="nil"/>
                <w:right w:space="0" w:sz="0" w:val="nil"/>
                <w:between w:space="0" w:sz="0" w:val="nil"/>
              </w:pBdr>
              <w:spacing w:after="0" w:line="240" w:lineRule="auto"/>
              <w:ind w:right="-1929"/>
              <w:jc w:val="center"/>
              <w:rPr>
                <w:rFonts w:ascii="Times New Roman" w:cs="Times New Roman" w:eastAsia="Times New Roman" w:hAnsi="Times New Roman"/>
                <w:smallCaps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line spacing here)</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c>
        <w:tc>
          <w:tcPr>
            <w:shd w:fill="auto" w:val="clear"/>
          </w:tcPr>
          <w:p w:rsidR="00000000" w:rsidDel="00000000" w:rsidP="00000000" w:rsidRDefault="00000000" w:rsidRPr="00000000" w14:paraId="00000026">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7">
            <w:pPr>
              <w:rPr/>
            </w:pPr>
            <w:r w:rsidDel="00000000" w:rsidR="00000000" w:rsidRPr="00000000">
              <w:rPr>
                <w:rtl w:val="0"/>
              </w:rPr>
            </w:r>
          </w:p>
        </w:tc>
        <w:tc>
          <w:tcPr>
            <w:shd w:fill="auto" w:val="clear"/>
          </w:tcPr>
          <w:p w:rsidR="00000000" w:rsidDel="00000000" w:rsidP="00000000" w:rsidRDefault="00000000" w:rsidRPr="00000000" w14:paraId="00000028">
            <w:pPr>
              <w:jc w:val="center"/>
              <w:rPr/>
            </w:pPr>
            <w:r w:rsidDel="00000000" w:rsidR="00000000" w:rsidRPr="00000000">
              <w:rPr>
                <w:sz w:val="36"/>
                <w:szCs w:val="36"/>
                <w:vertAlign w:val="subscript"/>
              </w:rPr>
              <w:drawing>
                <wp:inline distB="0" distT="0" distL="114300" distR="114300">
                  <wp:extent cx="1181735" cy="445769"/>
                  <wp:effectExtent b="0" l="0" r="0" t="0"/>
                  <wp:docPr descr="Shape&#10;&#10;Description automatically generated with medium confidence" id="15" name="image1.png"/>
                  <a:graphic>
                    <a:graphicData uri="http://schemas.openxmlformats.org/drawingml/2006/picture">
                      <pic:pic>
                        <pic:nvPicPr>
                          <pic:cNvPr descr="Shape&#10;&#10;Description automatically generated with medium confidence" id="0" name="image1.png"/>
                          <pic:cNvPicPr preferRelativeResize="0"/>
                        </pic:nvPicPr>
                        <pic:blipFill>
                          <a:blip r:embed="rId8"/>
                          <a:srcRect b="0" l="0" r="0" t="0"/>
                          <a:stretch>
                            <a:fillRect/>
                          </a:stretch>
                        </pic:blipFill>
                        <pic:spPr>
                          <a:xfrm>
                            <a:off x="0" y="0"/>
                            <a:ext cx="1181735" cy="445769"/>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29">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bl>
    <w:p w:rsidR="00000000" w:rsidDel="00000000" w:rsidP="00000000" w:rsidRDefault="00000000" w:rsidRPr="00000000" w14:paraId="0000002A">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(Leave one space here)</w:t>
      </w:r>
    </w:p>
    <w:p w:rsidR="00000000" w:rsidDel="00000000" w:rsidP="00000000" w:rsidRDefault="00000000" w:rsidRPr="00000000" w14:paraId="0000002B">
      <w:pPr>
        <w:spacing w:after="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Subsection (12pt Times New Roman)</w:t>
      </w:r>
    </w:p>
    <w:p w:rsidR="00000000" w:rsidDel="00000000" w:rsidP="00000000" w:rsidRDefault="00000000" w:rsidRPr="00000000" w14:paraId="0000002C">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of the text should be in 12pt Times New Roman. Texts are justified.</w:t>
      </w:r>
    </w:p>
    <w:p w:rsidR="00000000" w:rsidDel="00000000" w:rsidP="00000000" w:rsidRDefault="00000000" w:rsidRPr="00000000" w14:paraId="0000002D">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i w:val="1"/>
          <w:sz w:val="24"/>
          <w:szCs w:val="24"/>
        </w:rPr>
      </w:pPr>
      <w:bookmarkStart w:colFirst="0" w:colLast="0" w:name="_heading=h.gjdgxs" w:id="1"/>
      <w:bookmarkEnd w:id="1"/>
      <w:r w:rsidDel="00000000" w:rsidR="00000000" w:rsidRPr="00000000">
        <w:rPr>
          <w:rFonts w:ascii="Times New Roman" w:cs="Times New Roman" w:eastAsia="Times New Roman" w:hAnsi="Times New Roman"/>
          <w:i w:val="1"/>
          <w:sz w:val="24"/>
          <w:szCs w:val="24"/>
          <w:rtl w:val="0"/>
        </w:rPr>
        <w:t xml:space="preserve">(Leave two spaces here)</w:t>
      </w:r>
    </w:p>
    <w:p w:rsidR="00000000" w:rsidDel="00000000" w:rsidP="00000000" w:rsidRDefault="00000000" w:rsidRPr="00000000" w14:paraId="0000002F">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EMPIRICAL RESULTS (14pt Times New Roman)</w:t>
      </w:r>
    </w:p>
    <w:p w:rsidR="00000000" w:rsidDel="00000000" w:rsidP="00000000" w:rsidRDefault="00000000" w:rsidRPr="00000000" w14:paraId="00000030">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Body of the text should be in 12pt Times New Roman. Figures and Tables should be numbered as follows: Figure 1:, Figure 2: .. etc., Table 1:, Table 2:,.. etc. Texts are justified.</w:t>
      </w:r>
    </w:p>
    <w:p w:rsidR="00000000" w:rsidDel="00000000" w:rsidP="00000000" w:rsidRDefault="00000000" w:rsidRPr="00000000" w14:paraId="00000031">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(Leave one space here)</w:t>
      </w:r>
    </w:p>
    <w:p w:rsidR="00000000" w:rsidDel="00000000" w:rsidP="00000000" w:rsidRDefault="00000000" w:rsidRPr="00000000" w14:paraId="00000032">
      <w:pP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4.1 Tables and figures</w:t>
      </w:r>
      <w:r w:rsidDel="00000000" w:rsidR="00000000" w:rsidRPr="00000000">
        <w:rPr>
          <w:rtl w:val="0"/>
        </w:rPr>
      </w:r>
    </w:p>
    <w:p w:rsidR="00000000" w:rsidDel="00000000" w:rsidP="00000000" w:rsidRDefault="00000000" w:rsidRPr="00000000" w14:paraId="00000033">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Tables and figures must be embedded into the texts and not supplied separately. Use 10pt Times New Roman. The title must be above the tables and below the figures. They should be kept to a minimum number of words and designed to be as simple as possible. Written texts use Arabic numerals and single spacing. The source should be mentioned for figures only.</w:t>
      </w:r>
    </w:p>
    <w:p w:rsidR="00000000" w:rsidDel="00000000" w:rsidP="00000000" w:rsidRDefault="00000000" w:rsidRPr="00000000" w14:paraId="00000034">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(Leave one space here)</w:t>
      </w:r>
    </w:p>
    <w:p w:rsidR="00000000" w:rsidDel="00000000" w:rsidP="00000000" w:rsidRDefault="00000000" w:rsidRPr="00000000" w14:paraId="00000035">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7">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1: The Title of the Table Capitalize the First Word (10pt Times New Roman)</w:t>
      </w:r>
    </w:p>
    <w:tbl>
      <w:tblPr>
        <w:tblStyle w:val="Table2"/>
        <w:tblW w:w="90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803"/>
        <w:gridCol w:w="1803"/>
        <w:gridCol w:w="1803"/>
        <w:gridCol w:w="1804"/>
        <w:gridCol w:w="1804"/>
        <w:tblGridChange w:id="0">
          <w:tblGrid>
            <w:gridCol w:w="1803"/>
            <w:gridCol w:w="1803"/>
            <w:gridCol w:w="1803"/>
            <w:gridCol w:w="1804"/>
            <w:gridCol w:w="1804"/>
          </w:tblGrid>
        </w:tblGridChange>
      </w:tblGrid>
      <w:tr>
        <w:trPr>
          <w:cantSplit w:val="0"/>
          <w:tblHeader w:val="0"/>
        </w:trPr>
        <w:tc>
          <w:tcPr>
            <w:tcBorders>
              <w:top w:color="000000" w:space="0" w:sz="4" w:val="single"/>
            </w:tcBorders>
          </w:tcPr>
          <w:p w:rsidR="00000000" w:rsidDel="00000000" w:rsidP="00000000" w:rsidRDefault="00000000" w:rsidRPr="00000000" w14:paraId="0000003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ff</w:t>
            </w:r>
          </w:p>
        </w:tc>
        <w:tc>
          <w:tcPr>
            <w:tcBorders>
              <w:top w:color="000000" w:space="0" w:sz="4" w:val="single"/>
            </w:tcBorders>
          </w:tcPr>
          <w:p w:rsidR="00000000" w:rsidDel="00000000" w:rsidP="00000000" w:rsidRDefault="00000000" w:rsidRPr="00000000" w14:paraId="0000003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ff</w:t>
            </w:r>
          </w:p>
        </w:tc>
        <w:tc>
          <w:tcPr>
            <w:tcBorders>
              <w:top w:color="000000" w:space="0" w:sz="4" w:val="single"/>
            </w:tcBorders>
          </w:tcPr>
          <w:p w:rsidR="00000000" w:rsidDel="00000000" w:rsidP="00000000" w:rsidRDefault="00000000" w:rsidRPr="00000000" w14:paraId="0000003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ff</w:t>
            </w:r>
          </w:p>
        </w:tc>
        <w:tc>
          <w:tcPr>
            <w:tcBorders>
              <w:top w:color="000000" w:space="0" w:sz="4" w:val="single"/>
            </w:tcBorders>
          </w:tcPr>
          <w:p w:rsidR="00000000" w:rsidDel="00000000" w:rsidP="00000000" w:rsidRDefault="00000000" w:rsidRPr="00000000" w14:paraId="0000003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ff</w:t>
            </w:r>
          </w:p>
        </w:tc>
        <w:tc>
          <w:tcPr>
            <w:tcBorders>
              <w:top w:color="000000" w:space="0" w:sz="4" w:val="single"/>
            </w:tcBorders>
          </w:tcPr>
          <w:p w:rsidR="00000000" w:rsidDel="00000000" w:rsidP="00000000" w:rsidRDefault="00000000" w:rsidRPr="00000000" w14:paraId="0000003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ff</w:t>
            </w:r>
          </w:p>
        </w:tc>
      </w:tr>
      <w:tr>
        <w:trPr>
          <w:cantSplit w:val="0"/>
          <w:tblHeader w:val="0"/>
        </w:trPr>
        <w:tc>
          <w:tcPr>
            <w:tcBorders>
              <w:top w:color="000000" w:space="0" w:sz="4" w:val="single"/>
            </w:tcBorders>
          </w:tcPr>
          <w:p w:rsidR="00000000" w:rsidDel="00000000" w:rsidP="00000000" w:rsidRDefault="00000000" w:rsidRPr="00000000" w14:paraId="0000003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Ff1</w:t>
            </w:r>
          </w:p>
        </w:tc>
        <w:tc>
          <w:tcPr>
            <w:tcBorders>
              <w:top w:color="000000" w:space="0" w:sz="4" w:val="single"/>
            </w:tcBorders>
          </w:tcPr>
          <w:p w:rsidR="00000000" w:rsidDel="00000000" w:rsidP="00000000" w:rsidRDefault="00000000" w:rsidRPr="00000000" w14:paraId="0000003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4" w:val="single"/>
            </w:tcBorders>
          </w:tcPr>
          <w:p w:rsidR="00000000" w:rsidDel="00000000" w:rsidP="00000000" w:rsidRDefault="00000000" w:rsidRPr="00000000" w14:paraId="0000003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w:t>
            </w:r>
          </w:p>
        </w:tc>
        <w:tc>
          <w:tcPr>
            <w:tcBorders>
              <w:top w:color="000000" w:space="0" w:sz="4" w:val="single"/>
            </w:tcBorders>
          </w:tcPr>
          <w:p w:rsidR="00000000" w:rsidDel="00000000" w:rsidP="00000000" w:rsidRDefault="00000000" w:rsidRPr="00000000" w14:paraId="0000004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tcBorders>
              <w:top w:color="000000" w:space="0" w:sz="4" w:val="single"/>
            </w:tcBorders>
          </w:tcPr>
          <w:p w:rsidR="00000000" w:rsidDel="00000000" w:rsidP="00000000" w:rsidRDefault="00000000" w:rsidRPr="00000000" w14:paraId="0000004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r>
      <w:tr>
        <w:trPr>
          <w:cantSplit w:val="0"/>
          <w:tblHeader w:val="0"/>
        </w:trPr>
        <w:tc>
          <w:tcPr/>
          <w:p w:rsidR="00000000" w:rsidDel="00000000" w:rsidP="00000000" w:rsidRDefault="00000000" w:rsidRPr="00000000" w14:paraId="0000004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ff</w:t>
            </w:r>
          </w:p>
        </w:tc>
        <w:tc>
          <w:tcPr/>
          <w:p w:rsidR="00000000" w:rsidDel="00000000" w:rsidP="00000000" w:rsidRDefault="00000000" w:rsidRPr="00000000" w14:paraId="0000004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04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p w:rsidR="00000000" w:rsidDel="00000000" w:rsidP="00000000" w:rsidRDefault="00000000" w:rsidRPr="00000000" w14:paraId="0000004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56</w:t>
            </w:r>
          </w:p>
        </w:tc>
        <w:tc>
          <w:tcPr/>
          <w:p w:rsidR="00000000" w:rsidDel="00000000" w:rsidP="00000000" w:rsidRDefault="00000000" w:rsidRPr="00000000" w14:paraId="0000004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r>
      <w:tr>
        <w:trPr>
          <w:cantSplit w:val="0"/>
          <w:tblHeader w:val="0"/>
        </w:trPr>
        <w:tc>
          <w:tcPr/>
          <w:p w:rsidR="00000000" w:rsidDel="00000000" w:rsidP="00000000" w:rsidRDefault="00000000" w:rsidRPr="00000000" w14:paraId="0000004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ff</w:t>
            </w:r>
          </w:p>
        </w:tc>
        <w:tc>
          <w:tcPr/>
          <w:p w:rsidR="00000000" w:rsidDel="00000000" w:rsidP="00000000" w:rsidRDefault="00000000" w:rsidRPr="00000000" w14:paraId="0000004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p w:rsidR="00000000" w:rsidDel="00000000" w:rsidP="00000000" w:rsidRDefault="00000000" w:rsidRPr="00000000" w14:paraId="0000004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p w:rsidR="00000000" w:rsidDel="00000000" w:rsidP="00000000" w:rsidRDefault="00000000" w:rsidRPr="00000000" w14:paraId="0000004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p w:rsidR="00000000" w:rsidDel="00000000" w:rsidP="00000000" w:rsidRDefault="00000000" w:rsidRPr="00000000" w14:paraId="0000004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r>
      <w:tr>
        <w:trPr>
          <w:cantSplit w:val="0"/>
          <w:tblHeader w:val="0"/>
        </w:trPr>
        <w:tc>
          <w:tcPr/>
          <w:p w:rsidR="00000000" w:rsidDel="00000000" w:rsidP="00000000" w:rsidRDefault="00000000" w:rsidRPr="00000000" w14:paraId="0000004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ff</w:t>
            </w:r>
          </w:p>
        </w:tc>
        <w:tc>
          <w:tcPr/>
          <w:p w:rsidR="00000000" w:rsidDel="00000000" w:rsidP="00000000" w:rsidRDefault="00000000" w:rsidRPr="00000000" w14:paraId="0000004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p w:rsidR="00000000" w:rsidDel="00000000" w:rsidP="00000000" w:rsidRDefault="00000000" w:rsidRPr="00000000" w14:paraId="0000004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p w:rsidR="00000000" w:rsidDel="00000000" w:rsidP="00000000" w:rsidRDefault="00000000" w:rsidRPr="00000000" w14:paraId="0000004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w:t>
            </w:r>
          </w:p>
        </w:tc>
        <w:tc>
          <w:tcPr/>
          <w:p w:rsidR="00000000" w:rsidDel="00000000" w:rsidP="00000000" w:rsidRDefault="00000000" w:rsidRPr="00000000" w14:paraId="0000005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w:t>
            </w:r>
          </w:p>
        </w:tc>
      </w:tr>
    </w:tbl>
    <w:p w:rsidR="00000000" w:rsidDel="00000000" w:rsidP="00000000" w:rsidRDefault="00000000" w:rsidRPr="00000000" w14:paraId="0000005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ab/>
        <w:tab/>
        <w:tab/>
        <w:tab/>
        <w:tab/>
      </w:r>
      <w:r w:rsidDel="00000000" w:rsidR="00000000" w:rsidRPr="00000000">
        <w:rPr/>
        <mc:AlternateContent>
          <mc:Choice Requires="wpg">
            <w:drawing>
              <wp:inline distB="0" distT="0" distL="0" distR="0">
                <wp:extent cx="1219835" cy="520065"/>
                <wp:effectExtent b="0" l="0" r="0" t="0"/>
                <wp:docPr id="13" name=""/>
                <a:graphic>
                  <a:graphicData uri="http://schemas.microsoft.com/office/word/2010/wordprocessingShape">
                    <wps:wsp>
                      <wps:cNvSpPr/>
                      <wps:cNvPr id="2" name="Shape 2"/>
                      <wps:spPr>
                        <a:xfrm>
                          <a:off x="4745608" y="3529493"/>
                          <a:ext cx="1200785" cy="501015"/>
                        </a:xfrm>
                        <a:prstGeom prst="triangle">
                          <a:avLst>
                            <a:gd fmla="val 50000" name="adj"/>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1219835" cy="520065"/>
                <wp:effectExtent b="0" l="0" r="0" t="0"/>
                <wp:docPr id="1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219835" cy="5200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3">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Figure 1: The Title of the Figure Capitalize the First Word (10pt Times New Roman)</w:t>
      </w:r>
    </w:p>
    <w:p w:rsidR="00000000" w:rsidDel="00000000" w:rsidP="00000000" w:rsidRDefault="00000000" w:rsidRPr="00000000" w14:paraId="0000005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Source: Extracted and modified from … (10pt Times New Roman)</w:t>
      </w:r>
    </w:p>
    <w:p w:rsidR="00000000" w:rsidDel="00000000" w:rsidP="00000000" w:rsidRDefault="00000000" w:rsidRPr="00000000" w14:paraId="00000056">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after="0"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(Leave one space here)</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426"/>
        </w:tabs>
        <w:spacing w:after="0" w:line="240" w:lineRule="auto"/>
        <w:ind w:left="3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4.2 List</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357"/>
          <w:tab w:val="left" w:leader="none" w:pos="426"/>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Lists can be provided using either numbers or bullets:</w:t>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spacing w:after="0" w:line="24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item 1 like this;</w:t>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spacing w:after="0" w:line="24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item 2 is an example of a longer list item that wraps to a second line, where the second line is indented.</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8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357"/>
        </w:tabs>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An example for bulleted items like this:</w:t>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item 1;</w:t>
      </w:r>
      <w:r w:rsidDel="00000000" w:rsidR="00000000" w:rsidRPr="00000000">
        <w:rPr>
          <w:rtl w:val="0"/>
        </w:rPr>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pacing w:after="0" w:line="240" w:lineRule="auto"/>
        <w:ind w:left="1080" w:hanging="360"/>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List item 2.</w:t>
      </w:r>
      <w:r w:rsidDel="00000000" w:rsidR="00000000" w:rsidRPr="00000000">
        <w:rPr>
          <w:rtl w:val="0"/>
        </w:rPr>
      </w:r>
    </w:p>
    <w:p w:rsidR="00000000" w:rsidDel="00000000" w:rsidP="00000000" w:rsidRDefault="00000000" w:rsidRPr="00000000" w14:paraId="0000006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(Leave two spaces here)</w:t>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spacing w:after="0" w:line="240" w:lineRule="auto"/>
        <w:ind w:left="36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CONCLUSION (14pt Times New Roman)</w:t>
      </w:r>
    </w:p>
    <w:p w:rsidR="00000000" w:rsidDel="00000000" w:rsidP="00000000" w:rsidRDefault="00000000" w:rsidRPr="00000000" w14:paraId="00000063">
      <w:pPr>
        <w:spacing w:after="0" w:line="240" w:lineRule="auto"/>
        <w:jc w:val="both"/>
        <w:rPr>
          <w:sz w:val="24"/>
          <w:szCs w:val="24"/>
        </w:rPr>
      </w:pPr>
      <w:r w:rsidDel="00000000" w:rsidR="00000000" w:rsidRPr="00000000">
        <w:rPr>
          <w:rFonts w:ascii="Times New Roman" w:cs="Times New Roman" w:eastAsia="Times New Roman" w:hAnsi="Times New Roman"/>
          <w:sz w:val="24"/>
          <w:szCs w:val="24"/>
          <w:rtl w:val="0"/>
        </w:rPr>
        <w:t xml:space="preserve">Please, follow our instructions faithfully, otherwise you have to resubmit your full paper. Texts are justified.</w:t>
      </w:r>
      <w:r w:rsidDel="00000000" w:rsidR="00000000" w:rsidRPr="00000000">
        <w:rPr>
          <w:rtl w:val="0"/>
        </w:rPr>
      </w:r>
    </w:p>
    <w:p w:rsidR="00000000" w:rsidDel="00000000" w:rsidP="00000000" w:rsidRDefault="00000000" w:rsidRPr="00000000" w14:paraId="00000064">
      <w:pPr>
        <w:spacing w:after="0" w:line="240" w:lineRule="auto"/>
        <w:rPr>
          <w:sz w:val="24"/>
          <w:szCs w:val="24"/>
        </w:rPr>
      </w:pPr>
      <w:r w:rsidDel="00000000" w:rsidR="00000000" w:rsidRPr="00000000">
        <w:rPr>
          <w:rtl w:val="0"/>
        </w:rPr>
      </w:r>
    </w:p>
    <w:p w:rsidR="00000000" w:rsidDel="00000000" w:rsidP="00000000" w:rsidRDefault="00000000" w:rsidRPr="00000000" w14:paraId="00000065">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(Leave two spaces here)</w:t>
      </w:r>
    </w:p>
    <w:p w:rsidR="00000000" w:rsidDel="00000000" w:rsidP="00000000" w:rsidRDefault="00000000" w:rsidRPr="00000000" w14:paraId="00000066">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 (14pt Times New Roman)</w:t>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12pt size Times New Roman, Single spacing, APA Style for all books, journal, proceeding, etc. citation.</w:t>
      </w:r>
    </w:p>
    <w:p w:rsidR="00000000" w:rsidDel="00000000" w:rsidP="00000000" w:rsidRDefault="00000000" w:rsidRPr="00000000" w14:paraId="00000068">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JOURNALS, MAGAZINES, NEWSPAPERS IN PRINT FORMAT</w:t>
      </w:r>
    </w:p>
    <w:p w:rsidR="00000000" w:rsidDel="00000000" w:rsidP="00000000" w:rsidRDefault="00000000" w:rsidRPr="00000000" w14:paraId="0000006A">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General Form</w:t>
      </w:r>
    </w:p>
    <w:p w:rsidR="00000000" w:rsidDel="00000000" w:rsidP="00000000" w:rsidRDefault="00000000" w:rsidRPr="00000000" w14:paraId="0000006B">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A. A., Author, B. B., &amp; Author, C. C. (Year). Title of article. </w:t>
      </w:r>
      <w:r w:rsidDel="00000000" w:rsidR="00000000" w:rsidRPr="00000000">
        <w:rPr>
          <w:rFonts w:ascii="Times New Roman" w:cs="Times New Roman" w:eastAsia="Times New Roman" w:hAnsi="Times New Roman"/>
          <w:i w:val="1"/>
          <w:sz w:val="24"/>
          <w:szCs w:val="24"/>
          <w:rtl w:val="0"/>
        </w:rPr>
        <w:t xml:space="preserve">Title of Journal, xx, </w:t>
      </w:r>
      <w:r w:rsidDel="00000000" w:rsidR="00000000" w:rsidRPr="00000000">
        <w:rPr>
          <w:rFonts w:ascii="Times New Roman" w:cs="Times New Roman" w:eastAsia="Times New Roman" w:hAnsi="Times New Roman"/>
          <w:sz w:val="24"/>
          <w:szCs w:val="24"/>
          <w:rtl w:val="0"/>
        </w:rPr>
        <w:t xml:space="preserve">xxx-xxx.</w:t>
      </w:r>
    </w:p>
    <w:p w:rsidR="00000000" w:rsidDel="00000000" w:rsidP="00000000" w:rsidRDefault="00000000" w:rsidRPr="00000000" w14:paraId="0000006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One Author</w:t>
      </w:r>
    </w:p>
    <w:p w:rsidR="00000000" w:rsidDel="00000000" w:rsidP="00000000" w:rsidRDefault="00000000" w:rsidRPr="00000000" w14:paraId="0000006E">
      <w:pPr>
        <w:spacing w:after="0" w:line="24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Williams, J. H. (2008). Employee engagement: Improving participation in safety. </w:t>
      </w:r>
      <w:r w:rsidDel="00000000" w:rsidR="00000000" w:rsidRPr="00000000">
        <w:rPr>
          <w:rFonts w:ascii="Times New Roman" w:cs="Times New Roman" w:eastAsia="Times New Roman" w:hAnsi="Times New Roman"/>
          <w:i w:val="1"/>
          <w:color w:val="000000"/>
          <w:sz w:val="24"/>
          <w:szCs w:val="24"/>
          <w:rtl w:val="0"/>
        </w:rPr>
        <w:t xml:space="preserve">Professional Safety, </w:t>
      </w:r>
      <w:r w:rsidDel="00000000" w:rsidR="00000000" w:rsidRPr="00000000">
        <w:rPr>
          <w:rFonts w:ascii="Times New Roman" w:cs="Times New Roman" w:eastAsia="Times New Roman" w:hAnsi="Times New Roman"/>
          <w:color w:val="000000"/>
          <w:sz w:val="24"/>
          <w:szCs w:val="24"/>
          <w:rtl w:val="0"/>
        </w:rPr>
        <w:t xml:space="preserve">53(12), 40-45.</w:t>
      </w:r>
    </w:p>
    <w:p w:rsidR="00000000" w:rsidDel="00000000" w:rsidP="00000000" w:rsidRDefault="00000000" w:rsidRPr="00000000" w14:paraId="0000006F">
      <w:pPr>
        <w:spacing w:after="0" w:line="240" w:lineRule="auto"/>
        <w:jc w:val="both"/>
        <w:rPr>
          <w:rFonts w:ascii="Times New Roman" w:cs="Times New Roman" w:eastAsia="Times New Roman" w:hAnsi="Times New Roman"/>
          <w:b w:val="1"/>
          <w:color w:val="000000"/>
          <w:sz w:val="24"/>
          <w:szCs w:val="24"/>
        </w:rPr>
      </w:pPr>
      <w:bookmarkStart w:colFirst="0" w:colLast="0" w:name="_heading=h.30j0zll" w:id="2"/>
      <w:bookmarkEnd w:id="2"/>
      <w:r w:rsidDel="00000000" w:rsidR="00000000" w:rsidRPr="00000000">
        <w:rPr>
          <w:rFonts w:ascii="Times New Roman" w:cs="Times New Roman" w:eastAsia="Times New Roman" w:hAnsi="Times New Roman"/>
          <w:b w:val="1"/>
          <w:color w:val="000000"/>
          <w:sz w:val="24"/>
          <w:szCs w:val="24"/>
          <w:rtl w:val="0"/>
        </w:rPr>
        <w:t xml:space="preserve">Two to Seven Authors [List all authors]</w:t>
      </w:r>
    </w:p>
    <w:p w:rsidR="00000000" w:rsidDel="00000000" w:rsidP="00000000" w:rsidRDefault="00000000" w:rsidRPr="00000000" w14:paraId="00000070">
      <w:pPr>
        <w:spacing w:after="0" w:line="24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Keller, T. E., Cusick, G. R., &amp; Courtney, M. E. (2007). Approaching the transition to adulthood: Distinctive profiles of adolescents aging out of the child welfare system. </w:t>
      </w:r>
      <w:r w:rsidDel="00000000" w:rsidR="00000000" w:rsidRPr="00000000">
        <w:rPr>
          <w:rFonts w:ascii="Times New Roman" w:cs="Times New Roman" w:eastAsia="Times New Roman" w:hAnsi="Times New Roman"/>
          <w:i w:val="1"/>
          <w:color w:val="000000"/>
          <w:sz w:val="24"/>
          <w:szCs w:val="24"/>
          <w:rtl w:val="0"/>
        </w:rPr>
        <w:t xml:space="preserve">Social Services Review, </w:t>
      </w:r>
      <w:r w:rsidDel="00000000" w:rsidR="00000000" w:rsidRPr="00000000">
        <w:rPr>
          <w:rFonts w:ascii="Times New Roman" w:cs="Times New Roman" w:eastAsia="Times New Roman" w:hAnsi="Times New Roman"/>
          <w:color w:val="000000"/>
          <w:sz w:val="24"/>
          <w:szCs w:val="24"/>
          <w:rtl w:val="0"/>
        </w:rPr>
        <w:t xml:space="preserve">81, 453-484.</w:t>
      </w:r>
    </w:p>
    <w:p w:rsidR="00000000" w:rsidDel="00000000" w:rsidP="00000000" w:rsidRDefault="00000000" w:rsidRPr="00000000" w14:paraId="00000071">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Magazine Article</w:t>
      </w:r>
    </w:p>
    <w:p w:rsidR="00000000" w:rsidDel="00000000" w:rsidP="00000000" w:rsidRDefault="00000000" w:rsidRPr="00000000" w14:paraId="00000073">
      <w:pPr>
        <w:spacing w:after="0" w:line="24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Mathews, J., Berrett, D., &amp; Brillman, D. (2005, May 16). Other winning equations. </w:t>
      </w:r>
      <w:r w:rsidDel="00000000" w:rsidR="00000000" w:rsidRPr="00000000">
        <w:rPr>
          <w:rFonts w:ascii="Times New Roman" w:cs="Times New Roman" w:eastAsia="Times New Roman" w:hAnsi="Times New Roman"/>
          <w:i w:val="1"/>
          <w:color w:val="000000"/>
          <w:sz w:val="24"/>
          <w:szCs w:val="24"/>
          <w:rtl w:val="0"/>
        </w:rPr>
        <w:t xml:space="preserve">Newsweek, </w:t>
      </w:r>
      <w:r w:rsidDel="00000000" w:rsidR="00000000" w:rsidRPr="00000000">
        <w:rPr>
          <w:rFonts w:ascii="Times New Roman" w:cs="Times New Roman" w:eastAsia="Times New Roman" w:hAnsi="Times New Roman"/>
          <w:color w:val="000000"/>
          <w:sz w:val="24"/>
          <w:szCs w:val="24"/>
          <w:rtl w:val="0"/>
        </w:rPr>
        <w:t xml:space="preserve">145(20),  48-59.</w:t>
      </w:r>
    </w:p>
    <w:p w:rsidR="00000000" w:rsidDel="00000000" w:rsidP="00000000" w:rsidRDefault="00000000" w:rsidRPr="00000000" w14:paraId="00000074">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5">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Newspaper Article with No Author and Discontinuous Pages</w:t>
      </w:r>
    </w:p>
    <w:p w:rsidR="00000000" w:rsidDel="00000000" w:rsidP="00000000" w:rsidRDefault="00000000" w:rsidRPr="00000000" w14:paraId="00000076">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Generic Prozac debuts. (2001, August 3). </w:t>
      </w:r>
      <w:r w:rsidDel="00000000" w:rsidR="00000000" w:rsidRPr="00000000">
        <w:rPr>
          <w:rFonts w:ascii="Times New Roman" w:cs="Times New Roman" w:eastAsia="Times New Roman" w:hAnsi="Times New Roman"/>
          <w:i w:val="1"/>
          <w:color w:val="000000"/>
          <w:sz w:val="24"/>
          <w:szCs w:val="24"/>
          <w:rtl w:val="0"/>
        </w:rPr>
        <w:t xml:space="preserve">The Washington Post, </w:t>
      </w:r>
      <w:r w:rsidDel="00000000" w:rsidR="00000000" w:rsidRPr="00000000">
        <w:rPr>
          <w:rFonts w:ascii="Times New Roman" w:cs="Times New Roman" w:eastAsia="Times New Roman" w:hAnsi="Times New Roman"/>
          <w:color w:val="000000"/>
          <w:sz w:val="24"/>
          <w:szCs w:val="24"/>
          <w:rtl w:val="0"/>
        </w:rPr>
        <w:t xml:space="preserve">pp. E1, E4.</w:t>
      </w:r>
    </w:p>
    <w:p w:rsidR="00000000" w:rsidDel="00000000" w:rsidP="00000000" w:rsidRDefault="00000000" w:rsidRPr="00000000" w14:paraId="00000077">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BOOKS, CHAPTERS IN BOOKS, REPORTS, ETC.</w:t>
      </w:r>
    </w:p>
    <w:p w:rsidR="00000000" w:rsidDel="00000000" w:rsidP="00000000" w:rsidRDefault="00000000" w:rsidRPr="00000000" w14:paraId="0000007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General Form</w:t>
      </w:r>
    </w:p>
    <w:p w:rsidR="00000000" w:rsidDel="00000000" w:rsidP="00000000" w:rsidRDefault="00000000" w:rsidRPr="00000000" w14:paraId="0000007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A. A. (Year). </w:t>
      </w:r>
      <w:r w:rsidDel="00000000" w:rsidR="00000000" w:rsidRPr="00000000">
        <w:rPr>
          <w:rFonts w:ascii="Times New Roman" w:cs="Times New Roman" w:eastAsia="Times New Roman" w:hAnsi="Times New Roman"/>
          <w:i w:val="1"/>
          <w:sz w:val="24"/>
          <w:szCs w:val="24"/>
          <w:rtl w:val="0"/>
        </w:rPr>
        <w:t xml:space="preserve">Title of work</w:t>
      </w:r>
      <w:r w:rsidDel="00000000" w:rsidR="00000000" w:rsidRPr="00000000">
        <w:rPr>
          <w:rFonts w:ascii="Times New Roman" w:cs="Times New Roman" w:eastAsia="Times New Roman" w:hAnsi="Times New Roman"/>
          <w:sz w:val="24"/>
          <w:szCs w:val="24"/>
          <w:rtl w:val="0"/>
        </w:rPr>
        <w:t xml:space="preserve">. Location: Publisher.</w:t>
      </w:r>
    </w:p>
    <w:p w:rsidR="00000000" w:rsidDel="00000000" w:rsidP="00000000" w:rsidRDefault="00000000" w:rsidRPr="00000000" w14:paraId="0000007C">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D">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One Author</w:t>
      </w:r>
    </w:p>
    <w:p w:rsidR="00000000" w:rsidDel="00000000" w:rsidP="00000000" w:rsidRDefault="00000000" w:rsidRPr="00000000" w14:paraId="0000007E">
      <w:pPr>
        <w:spacing w:after="0" w:line="24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Alexie, S. (1992). </w:t>
      </w:r>
      <w:r w:rsidDel="00000000" w:rsidR="00000000" w:rsidRPr="00000000">
        <w:rPr>
          <w:rFonts w:ascii="Times New Roman" w:cs="Times New Roman" w:eastAsia="Times New Roman" w:hAnsi="Times New Roman"/>
          <w:i w:val="1"/>
          <w:color w:val="000000"/>
          <w:sz w:val="24"/>
          <w:szCs w:val="24"/>
          <w:rtl w:val="0"/>
        </w:rPr>
        <w:t xml:space="preserve">The business of fancy dancing: stories and poems. </w:t>
      </w:r>
      <w:r w:rsidDel="00000000" w:rsidR="00000000" w:rsidRPr="00000000">
        <w:rPr>
          <w:rFonts w:ascii="Times New Roman" w:cs="Times New Roman" w:eastAsia="Times New Roman" w:hAnsi="Times New Roman"/>
          <w:color w:val="000000"/>
          <w:sz w:val="24"/>
          <w:szCs w:val="24"/>
          <w:rtl w:val="0"/>
        </w:rPr>
        <w:t xml:space="preserve">Brooklyn, NY: Hang Loose Press.</w:t>
      </w:r>
    </w:p>
    <w:p w:rsidR="00000000" w:rsidDel="00000000" w:rsidP="00000000" w:rsidRDefault="00000000" w:rsidRPr="00000000" w14:paraId="0000007F">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0">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Corporate Author with an Edition and Published by the Corporate Author</w:t>
      </w:r>
    </w:p>
    <w:p w:rsidR="00000000" w:rsidDel="00000000" w:rsidP="00000000" w:rsidRDefault="00000000" w:rsidRPr="00000000" w14:paraId="00000081">
      <w:pPr>
        <w:spacing w:after="0" w:line="24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American Psychiatric Association. (1994). </w:t>
      </w:r>
      <w:r w:rsidDel="00000000" w:rsidR="00000000" w:rsidRPr="00000000">
        <w:rPr>
          <w:rFonts w:ascii="Times New Roman" w:cs="Times New Roman" w:eastAsia="Times New Roman" w:hAnsi="Times New Roman"/>
          <w:i w:val="1"/>
          <w:color w:val="000000"/>
          <w:sz w:val="24"/>
          <w:szCs w:val="24"/>
          <w:rtl w:val="0"/>
        </w:rPr>
        <w:t xml:space="preserve">Diagnostic and statistical manual of mental disorders </w:t>
      </w:r>
      <w:r w:rsidDel="00000000" w:rsidR="00000000" w:rsidRPr="00000000">
        <w:rPr>
          <w:rFonts w:ascii="Times New Roman" w:cs="Times New Roman" w:eastAsia="Times New Roman" w:hAnsi="Times New Roman"/>
          <w:color w:val="000000"/>
          <w:sz w:val="24"/>
          <w:szCs w:val="24"/>
          <w:rtl w:val="0"/>
        </w:rPr>
        <w:t xml:space="preserve">(4th ed.). Washington, DC: Author.</w:t>
      </w:r>
    </w:p>
    <w:p w:rsidR="00000000" w:rsidDel="00000000" w:rsidP="00000000" w:rsidRDefault="00000000" w:rsidRPr="00000000" w14:paraId="00000082">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3">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Anonymous Author</w:t>
      </w:r>
    </w:p>
    <w:p w:rsidR="00000000" w:rsidDel="00000000" w:rsidP="00000000" w:rsidRDefault="00000000" w:rsidRPr="00000000" w14:paraId="00000084">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Dorland’s illustrated medical dictionary </w:t>
      </w:r>
      <w:r w:rsidDel="00000000" w:rsidR="00000000" w:rsidRPr="00000000">
        <w:rPr>
          <w:rFonts w:ascii="Times New Roman" w:cs="Times New Roman" w:eastAsia="Times New Roman" w:hAnsi="Times New Roman"/>
          <w:color w:val="000000"/>
          <w:sz w:val="24"/>
          <w:szCs w:val="24"/>
          <w:rtl w:val="0"/>
        </w:rPr>
        <w:t xml:space="preserve">(31st ed.). (2007). Philadelphia, PA: Saunders.</w:t>
      </w:r>
    </w:p>
    <w:p w:rsidR="00000000" w:rsidDel="00000000" w:rsidP="00000000" w:rsidRDefault="00000000" w:rsidRPr="00000000" w14:paraId="00000085">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6">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Chapter in a Book</w:t>
      </w:r>
    </w:p>
    <w:p w:rsidR="00000000" w:rsidDel="00000000" w:rsidP="00000000" w:rsidRDefault="00000000" w:rsidRPr="00000000" w14:paraId="00000087">
      <w:pPr>
        <w:spacing w:after="0" w:line="24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Booth-LaForce, C., &amp; Kerns, K. A. (2009). Child-parent attachment relationships, peer relationships, and peer-group functioning. InK. H. Rubin, W. M. Bukowski, &amp; B. Laursen (Eds.), </w:t>
      </w:r>
      <w:r w:rsidDel="00000000" w:rsidR="00000000" w:rsidRPr="00000000">
        <w:rPr>
          <w:rFonts w:ascii="Times New Roman" w:cs="Times New Roman" w:eastAsia="Times New Roman" w:hAnsi="Times New Roman"/>
          <w:i w:val="1"/>
          <w:color w:val="000000"/>
          <w:sz w:val="24"/>
          <w:szCs w:val="24"/>
          <w:rtl w:val="0"/>
        </w:rPr>
        <w:t xml:space="preserve">Handbook of </w:t>
      </w:r>
      <w:r w:rsidDel="00000000" w:rsidR="00000000" w:rsidRPr="00000000">
        <w:rPr>
          <w:rFonts w:ascii="Times New Roman" w:cs="Times New Roman" w:eastAsia="Times New Roman" w:hAnsi="Times New Roman"/>
          <w:i w:val="1"/>
          <w:sz w:val="24"/>
          <w:szCs w:val="24"/>
          <w:rtl w:val="0"/>
        </w:rPr>
        <w:t xml:space="preserve">peer interactions</w:t>
      </w:r>
      <w:r w:rsidDel="00000000" w:rsidR="00000000" w:rsidRPr="00000000">
        <w:rPr>
          <w:rFonts w:ascii="Times New Roman" w:cs="Times New Roman" w:eastAsia="Times New Roman" w:hAnsi="Times New Roman"/>
          <w:i w:val="1"/>
          <w:color w:val="000000"/>
          <w:sz w:val="24"/>
          <w:szCs w:val="24"/>
          <w:rtl w:val="0"/>
        </w:rPr>
        <w:t xml:space="preserve">, relationships, and groups </w:t>
      </w:r>
      <w:r w:rsidDel="00000000" w:rsidR="00000000" w:rsidRPr="00000000">
        <w:rPr>
          <w:rFonts w:ascii="Times New Roman" w:cs="Times New Roman" w:eastAsia="Times New Roman" w:hAnsi="Times New Roman"/>
          <w:color w:val="000000"/>
          <w:sz w:val="24"/>
          <w:szCs w:val="24"/>
          <w:rtl w:val="0"/>
        </w:rPr>
        <w:t xml:space="preserve">(pp. 490-507). New York, NY: Guilford Press.</w:t>
      </w:r>
    </w:p>
    <w:p w:rsidR="00000000" w:rsidDel="00000000" w:rsidP="00000000" w:rsidRDefault="00000000" w:rsidRPr="00000000" w14:paraId="00000088">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ERIC Document</w:t>
      </w:r>
    </w:p>
    <w:p w:rsidR="00000000" w:rsidDel="00000000" w:rsidP="00000000" w:rsidRDefault="00000000" w:rsidRPr="00000000" w14:paraId="0000008A">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Shyyan, V., Thurlow, M., &amp; Liu, K. (2005). </w:t>
      </w:r>
      <w:r w:rsidDel="00000000" w:rsidR="00000000" w:rsidRPr="00000000">
        <w:rPr>
          <w:rFonts w:ascii="Times New Roman" w:cs="Times New Roman" w:eastAsia="Times New Roman" w:hAnsi="Times New Roman"/>
          <w:i w:val="1"/>
          <w:color w:val="000000"/>
          <w:sz w:val="24"/>
          <w:szCs w:val="24"/>
          <w:rtl w:val="0"/>
        </w:rPr>
        <w:t xml:space="preserve">Student perceptions </w:t>
      </w:r>
      <w:r w:rsidDel="00000000" w:rsidR="00000000" w:rsidRPr="00000000">
        <w:rPr>
          <w:rFonts w:ascii="Times New Roman" w:cs="Times New Roman" w:eastAsia="Times New Roman" w:hAnsi="Times New Roman"/>
          <w:i w:val="1"/>
          <w:sz w:val="24"/>
          <w:szCs w:val="24"/>
          <w:rtl w:val="0"/>
        </w:rPr>
        <w:t xml:space="preserve">of instructional</w:t>
      </w:r>
      <w:r w:rsidDel="00000000" w:rsidR="00000000" w:rsidRPr="00000000">
        <w:rPr>
          <w:rFonts w:ascii="Times New Roman" w:cs="Times New Roman" w:eastAsia="Times New Roman" w:hAnsi="Times New Roman"/>
          <w:i w:val="1"/>
          <w:color w:val="000000"/>
          <w:sz w:val="24"/>
          <w:szCs w:val="24"/>
          <w:rtl w:val="0"/>
        </w:rPr>
        <w:t xml:space="preserve"> strategies: Voices of English language learners with disabilities. </w:t>
      </w:r>
      <w:r w:rsidDel="00000000" w:rsidR="00000000" w:rsidRPr="00000000">
        <w:rPr>
          <w:rFonts w:ascii="Times New Roman" w:cs="Times New Roman" w:eastAsia="Times New Roman" w:hAnsi="Times New Roman"/>
          <w:color w:val="000000"/>
          <w:sz w:val="24"/>
          <w:szCs w:val="24"/>
          <w:rtl w:val="0"/>
        </w:rPr>
        <w:t xml:space="preserve">Minneapolis, MN: National Center on Educational Outcomes, University of Minnesota. Retrieved from the ERIC database. (ED495903)</w:t>
      </w:r>
      <w:r w:rsidDel="00000000" w:rsidR="00000000" w:rsidRPr="00000000">
        <w:rPr>
          <w:rtl w:val="0"/>
        </w:rPr>
      </w:r>
    </w:p>
    <w:p w:rsidR="00000000" w:rsidDel="00000000" w:rsidP="00000000" w:rsidRDefault="00000000" w:rsidRPr="00000000" w14:paraId="0000008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ONLINE JOURNALS, MAGAZINES, NEWSPAPERS</w:t>
      </w:r>
    </w:p>
    <w:p w:rsidR="00000000" w:rsidDel="00000000" w:rsidP="00000000" w:rsidRDefault="00000000" w:rsidRPr="00000000" w14:paraId="0000008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Format - Databases</w:t>
      </w:r>
    </w:p>
    <w:p w:rsidR="00000000" w:rsidDel="00000000" w:rsidP="00000000" w:rsidRDefault="00000000" w:rsidRPr="00000000" w14:paraId="0000008F">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A. A., Author, B. B., &amp; Author, C. C. (Year). Title of article. </w:t>
      </w:r>
      <w:r w:rsidDel="00000000" w:rsidR="00000000" w:rsidRPr="00000000">
        <w:rPr>
          <w:rFonts w:ascii="Times New Roman" w:cs="Times New Roman" w:eastAsia="Times New Roman" w:hAnsi="Times New Roman"/>
          <w:i w:val="1"/>
          <w:sz w:val="24"/>
          <w:szCs w:val="24"/>
          <w:rtl w:val="0"/>
        </w:rPr>
        <w:t xml:space="preserve">Name of Journal, xx, </w:t>
      </w:r>
      <w:r w:rsidDel="00000000" w:rsidR="00000000" w:rsidRPr="00000000">
        <w:rPr>
          <w:rFonts w:ascii="Times New Roman" w:cs="Times New Roman" w:eastAsia="Times New Roman" w:hAnsi="Times New Roman"/>
          <w:sz w:val="24"/>
          <w:szCs w:val="24"/>
          <w:rtl w:val="0"/>
        </w:rPr>
        <w:t xml:space="preserve">xxx-xxx. doi:xxxxxxxxx </w:t>
      </w:r>
    </w:p>
    <w:p w:rsidR="00000000" w:rsidDel="00000000" w:rsidP="00000000" w:rsidRDefault="00000000" w:rsidRPr="00000000" w14:paraId="0000009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from an Online Magazine</w:t>
      </w:r>
    </w:p>
    <w:p w:rsidR="00000000" w:rsidDel="00000000" w:rsidP="00000000" w:rsidRDefault="00000000" w:rsidRPr="00000000" w14:paraId="00000091">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Lodewijkx, H. F. M. (2001, May 23). Individual-group continuity in cooperation and competition. </w:t>
      </w:r>
      <w:r w:rsidDel="00000000" w:rsidR="00000000" w:rsidRPr="00000000">
        <w:rPr>
          <w:rFonts w:ascii="Times New Roman" w:cs="Times New Roman" w:eastAsia="Times New Roman" w:hAnsi="Times New Roman"/>
          <w:i w:val="1"/>
          <w:sz w:val="24"/>
          <w:szCs w:val="24"/>
          <w:rtl w:val="0"/>
        </w:rPr>
        <w:t xml:space="preserve">Current Issues in Social Psychology,</w:t>
      </w:r>
      <w:r w:rsidDel="00000000" w:rsidR="00000000" w:rsidRPr="00000000">
        <w:rPr>
          <w:rFonts w:ascii="Times New Roman" w:cs="Times New Roman" w:eastAsia="Times New Roman" w:hAnsi="Times New Roman"/>
          <w:sz w:val="24"/>
          <w:szCs w:val="24"/>
          <w:rtl w:val="0"/>
        </w:rPr>
        <w:t xml:space="preserve"> 6(12), 166-182. Retrieved from http://www.uiowa.edu/~grpproc/crisp/crisp.6.12.htm</w:t>
      </w:r>
    </w:p>
    <w:p w:rsidR="00000000" w:rsidDel="00000000" w:rsidP="00000000" w:rsidRDefault="00000000" w:rsidRPr="00000000" w14:paraId="0000009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ONLINE RESOURCES</w:t>
      </w:r>
    </w:p>
    <w:p w:rsidR="00000000" w:rsidDel="00000000" w:rsidP="00000000" w:rsidRDefault="00000000" w:rsidRPr="00000000" w14:paraId="0000009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Form</w:t>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A. A. (Year). </w:t>
      </w:r>
      <w:r w:rsidDel="00000000" w:rsidR="00000000" w:rsidRPr="00000000">
        <w:rPr>
          <w:rFonts w:ascii="Times New Roman" w:cs="Times New Roman" w:eastAsia="Times New Roman" w:hAnsi="Times New Roman"/>
          <w:i w:val="1"/>
          <w:sz w:val="24"/>
          <w:szCs w:val="24"/>
          <w:rtl w:val="0"/>
        </w:rPr>
        <w:t xml:space="preserve">Title of work. </w:t>
      </w:r>
      <w:r w:rsidDel="00000000" w:rsidR="00000000" w:rsidRPr="00000000">
        <w:rPr>
          <w:rFonts w:ascii="Times New Roman" w:cs="Times New Roman" w:eastAsia="Times New Roman" w:hAnsi="Times New Roman"/>
          <w:sz w:val="24"/>
          <w:szCs w:val="24"/>
          <w:rtl w:val="0"/>
        </w:rPr>
        <w:t xml:space="preserve">Retrieved from web address.</w:t>
      </w:r>
    </w:p>
    <w:p w:rsidR="00000000" w:rsidDel="00000000" w:rsidP="00000000" w:rsidRDefault="00000000" w:rsidRPr="00000000" w14:paraId="0000009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Online Report from a Nongovernmental Organization</w:t>
      </w:r>
    </w:p>
    <w:p w:rsidR="00000000" w:rsidDel="00000000" w:rsidP="00000000" w:rsidRDefault="00000000" w:rsidRPr="00000000" w14:paraId="00000099">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Kenney, G. M., Cook, A., &amp; Pelletier, J. (2009). </w:t>
      </w:r>
      <w:r w:rsidDel="00000000" w:rsidR="00000000" w:rsidRPr="00000000">
        <w:rPr>
          <w:rFonts w:ascii="Times New Roman" w:cs="Times New Roman" w:eastAsia="Times New Roman" w:hAnsi="Times New Roman"/>
          <w:i w:val="1"/>
          <w:sz w:val="24"/>
          <w:szCs w:val="24"/>
          <w:rtl w:val="0"/>
        </w:rPr>
        <w:t xml:space="preserve">Prospects for reducing uninsured rates among children: How much can premium assistance programs help? </w:t>
      </w:r>
      <w:r w:rsidDel="00000000" w:rsidR="00000000" w:rsidRPr="00000000">
        <w:rPr>
          <w:rFonts w:ascii="Times New Roman" w:cs="Times New Roman" w:eastAsia="Times New Roman" w:hAnsi="Times New Roman"/>
          <w:sz w:val="24"/>
          <w:szCs w:val="24"/>
          <w:rtl w:val="0"/>
        </w:rPr>
        <w:t xml:space="preserve">Retrieved from Urban Institute website: http:// www.urban.org/url.cfm?ID=411823</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Online Report with No Author Identified and No Date</w:t>
      </w:r>
    </w:p>
    <w:p w:rsidR="00000000" w:rsidDel="00000000" w:rsidP="00000000" w:rsidRDefault="00000000" w:rsidRPr="00000000" w14:paraId="0000009C">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GVU's 10th WWW user survey. </w:t>
      </w:r>
      <w:r w:rsidDel="00000000" w:rsidR="00000000" w:rsidRPr="00000000">
        <w:rPr>
          <w:rFonts w:ascii="Times New Roman" w:cs="Times New Roman" w:eastAsia="Times New Roman" w:hAnsi="Times New Roman"/>
          <w:sz w:val="24"/>
          <w:szCs w:val="24"/>
          <w:rtl w:val="0"/>
        </w:rPr>
        <w:t xml:space="preserve">(n.d.). Retrieved from http://www.cc.gatech.edu/user_surveys/survey-1998-10/4</w:t>
      </w:r>
    </w:p>
    <w:p w:rsidR="00000000" w:rsidDel="00000000" w:rsidP="00000000" w:rsidRDefault="00000000" w:rsidRPr="00000000" w14:paraId="0000009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 CITATIONS IN TEXT</w:t>
      </w:r>
      <w:r w:rsidDel="00000000" w:rsidR="00000000" w:rsidRPr="00000000">
        <w:rPr>
          <w:rFonts w:ascii="Times New Roman" w:cs="Times New Roman" w:eastAsia="Times New Roman" w:hAnsi="Times New Roman"/>
          <w:sz w:val="24"/>
          <w:szCs w:val="24"/>
          <w:rtl w:val="0"/>
        </w:rPr>
        <w:t xml:space="preserve">– APA utilizes a system of the brief referencing in the text of a paper, whether one is paraphrasing or providing a direct quotation from another author’s work. Citations in the text usually consist of the name of the author(s) and the year of publication. The page number is added when utilizing a direct quotation.</w:t>
      </w:r>
    </w:p>
    <w:p w:rsidR="00000000" w:rsidDel="00000000" w:rsidP="00000000" w:rsidRDefault="00000000" w:rsidRPr="00000000" w14:paraId="0000009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Indirect Quotation with Parenthetical Citation</w:t>
      </w:r>
    </w:p>
    <w:p w:rsidR="00000000" w:rsidDel="00000000" w:rsidP="00000000" w:rsidRDefault="00000000" w:rsidRPr="00000000" w14:paraId="000000A1">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Libraries historically highly value intellectual freedom and patron confidentiality (LaRue, 2007).</w:t>
      </w:r>
    </w:p>
    <w:p w:rsidR="00000000" w:rsidDel="00000000" w:rsidP="00000000" w:rsidRDefault="00000000" w:rsidRPr="00000000" w14:paraId="000000A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Indirect Quotation with Author as Part of the Narrative</w:t>
      </w:r>
    </w:p>
    <w:p w:rsidR="00000000" w:rsidDel="00000000" w:rsidP="00000000" w:rsidRDefault="00000000" w:rsidRPr="00000000" w14:paraId="000000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LaRue (2007) identified intellectual freedom and patron confidentiality as two key values </w:t>
        <w:tab/>
        <w:t xml:space="preserve">held historically by libraries.</w:t>
      </w:r>
    </w:p>
    <w:p w:rsidR="00000000" w:rsidDel="00000000" w:rsidP="00000000" w:rsidRDefault="00000000" w:rsidRPr="00000000" w14:paraId="000000A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 Quotation with Parenthetical Citation</w:t>
      </w:r>
    </w:p>
    <w:p w:rsidR="00000000" w:rsidDel="00000000" w:rsidP="00000000" w:rsidRDefault="00000000" w:rsidRPr="00000000" w14:paraId="000000A7">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Darwin used the metaphor of the tree of life "to express the other form of interconnectedness–genealogical rather than ecological" (Gould &amp; Brown, 1991, p. 14).</w:t>
      </w:r>
    </w:p>
    <w:p w:rsidR="00000000" w:rsidDel="00000000" w:rsidP="00000000" w:rsidRDefault="00000000" w:rsidRPr="00000000" w14:paraId="000000A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Direct Quotation with Author as Part of the Narrative</w:t>
      </w:r>
    </w:p>
    <w:p w:rsidR="00000000" w:rsidDel="00000000" w:rsidP="00000000" w:rsidRDefault="00000000" w:rsidRPr="00000000" w14:paraId="000000AA">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Gould and Brown (1991) explained that Darwin used the metaphor of the tree of life "to express the other form of interconnectedness– genealogical rather than ecological”(p. 14).</w:t>
      </w:r>
    </w:p>
    <w:p w:rsidR="00000000" w:rsidDel="00000000" w:rsidP="00000000" w:rsidRDefault="00000000" w:rsidRPr="00000000" w14:paraId="000000A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CITING SECONDARY SOURCES -- </w:t>
      </w:r>
      <w:r w:rsidDel="00000000" w:rsidR="00000000" w:rsidRPr="00000000">
        <w:rPr>
          <w:rFonts w:ascii="Times New Roman" w:cs="Times New Roman" w:eastAsia="Times New Roman" w:hAnsi="Times New Roman"/>
          <w:sz w:val="24"/>
          <w:szCs w:val="24"/>
          <w:rtl w:val="0"/>
        </w:rPr>
        <w:t xml:space="preserve">When citing in the text a work discussed in a secondary source, give both the primary and the secondary sources. In the example below, the study by Seidenberg and McClelland was mentioned in an article by Coltheart, Curtis, Atkins, &amp; Haller. </w:t>
      </w:r>
    </w:p>
    <w:p w:rsidR="00000000" w:rsidDel="00000000" w:rsidP="00000000" w:rsidRDefault="00000000" w:rsidRPr="00000000" w14:paraId="000000A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after="0"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Seidenberg and McClelland’s study (as cited in Coltheart, Curtis, Atkins, &amp; Haller, 1993) provided a glimpse into the world.</w:t>
      </w:r>
    </w:p>
    <w:p w:rsidR="00000000" w:rsidDel="00000000" w:rsidP="00000000" w:rsidRDefault="00000000" w:rsidRPr="00000000" w14:paraId="000000A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references page, you would cite the secondary source you read, not the original study.</w:t>
      </w:r>
    </w:p>
    <w:p w:rsidR="00000000" w:rsidDel="00000000" w:rsidP="00000000" w:rsidRDefault="00000000" w:rsidRPr="00000000" w14:paraId="000000B1">
      <w:pPr>
        <w:spacing w:after="0" w:line="24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after="0" w:line="240" w:lineRule="auto"/>
        <w:ind w:left="720" w:hanging="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Coltheart, M., Curtis, B., Atkins, P., &amp; Haller, M. (1993). Models of reading aloud: Dual-route and parallel-distributed processing approaches. </w:t>
      </w:r>
      <w:r w:rsidDel="00000000" w:rsidR="00000000" w:rsidRPr="00000000">
        <w:rPr>
          <w:rFonts w:ascii="Times New Roman" w:cs="Times New Roman" w:eastAsia="Times New Roman" w:hAnsi="Times New Roman"/>
          <w:i w:val="1"/>
          <w:sz w:val="24"/>
          <w:szCs w:val="24"/>
          <w:rtl w:val="0"/>
        </w:rPr>
        <w:t xml:space="preserve">Psychological Review, 100, </w:t>
      </w:r>
      <w:r w:rsidDel="00000000" w:rsidR="00000000" w:rsidRPr="00000000">
        <w:rPr>
          <w:rFonts w:ascii="Times New Roman" w:cs="Times New Roman" w:eastAsia="Times New Roman" w:hAnsi="Times New Roman"/>
          <w:sz w:val="24"/>
          <w:szCs w:val="24"/>
          <w:rtl w:val="0"/>
        </w:rPr>
        <w:t xml:space="preserve">589-608</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B3">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r>
    </w:p>
    <w:p w:rsidR="00000000" w:rsidDel="00000000" w:rsidP="00000000" w:rsidRDefault="00000000" w:rsidRPr="00000000" w14:paraId="000000B4">
      <w:pP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sectPr>
      <w:headerReference r:id="rId10" w:type="default"/>
      <w:footerReference r:id="rId11" w:type="default"/>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Proceeding of the 10</w:t>
    </w:r>
    <w:r w:rsidDel="00000000" w:rsidR="00000000" w:rsidRPr="00000000">
      <w:rPr>
        <w:rFonts w:ascii="Times New Roman" w:cs="Times New Roman" w:eastAsia="Times New Roman" w:hAnsi="Times New Roman"/>
        <w:i w:val="1"/>
        <w:color w:val="000000"/>
        <w:vertAlign w:val="superscript"/>
        <w:rtl w:val="0"/>
      </w:rPr>
      <w:t xml:space="preserve">th</w:t>
    </w:r>
    <w:r w:rsidDel="00000000" w:rsidR="00000000" w:rsidRPr="00000000">
      <w:rPr>
        <w:rFonts w:ascii="Times New Roman" w:cs="Times New Roman" w:eastAsia="Times New Roman" w:hAnsi="Times New Roman"/>
        <w:i w:val="1"/>
        <w:color w:val="000000"/>
        <w:rtl w:val="0"/>
      </w:rPr>
      <w:t xml:space="preserve"> International Conference on Management and Muamalah 2023 (ICoMM 2023)</w:t>
    </w:r>
  </w:p>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e-ISBN: 978-967-2122-XX-X</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3"/>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rsid w:val="00885BD2"/>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D65AC1"/>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5AC1"/>
  </w:style>
  <w:style w:type="paragraph" w:styleId="Footer">
    <w:name w:val="footer"/>
    <w:basedOn w:val="Normal"/>
    <w:link w:val="FooterChar"/>
    <w:uiPriority w:val="99"/>
    <w:unhideWhenUsed w:val="1"/>
    <w:rsid w:val="00D65A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5AC1"/>
  </w:style>
  <w:style w:type="character" w:styleId="Hyperlink">
    <w:name w:val="Hyperlink"/>
    <w:basedOn w:val="DefaultParagraphFont"/>
    <w:uiPriority w:val="99"/>
    <w:unhideWhenUsed w:val="1"/>
    <w:rsid w:val="00102691"/>
    <w:rPr>
      <w:color w:val="0000ff" w:themeColor="hyperlink"/>
      <w:u w:val="single"/>
    </w:rPr>
  </w:style>
  <w:style w:type="paragraph" w:styleId="FootnoteText">
    <w:name w:val="footnote text"/>
    <w:basedOn w:val="Normal"/>
    <w:link w:val="FootnoteTextChar"/>
    <w:uiPriority w:val="99"/>
    <w:semiHidden w:val="1"/>
    <w:unhideWhenUsed w:val="1"/>
    <w:rsid w:val="001A1469"/>
    <w:rPr>
      <w:rFonts w:cs="Times New Roman"/>
      <w:sz w:val="20"/>
      <w:szCs w:val="20"/>
      <w:lang w:eastAsia="x-none" w:val="x-none"/>
    </w:rPr>
  </w:style>
  <w:style w:type="character" w:styleId="FootnoteTextChar" w:customStyle="1">
    <w:name w:val="Footnote Text Char"/>
    <w:basedOn w:val="DefaultParagraphFont"/>
    <w:link w:val="FootnoteText"/>
    <w:uiPriority w:val="99"/>
    <w:semiHidden w:val="1"/>
    <w:rsid w:val="001A1469"/>
    <w:rPr>
      <w:rFonts w:ascii="Calibri" w:cs="Times New Roman" w:eastAsia="Calibri" w:hAnsi="Calibri"/>
      <w:sz w:val="20"/>
      <w:szCs w:val="20"/>
      <w:lang w:eastAsia="x-none" w:val="x-none"/>
    </w:rPr>
  </w:style>
  <w:style w:type="character" w:styleId="FootnoteReference">
    <w:name w:val="footnote reference"/>
    <w:uiPriority w:val="99"/>
    <w:semiHidden w:val="1"/>
    <w:unhideWhenUsed w:val="1"/>
    <w:rsid w:val="001A1469"/>
    <w:rPr>
      <w:vertAlign w:val="superscript"/>
    </w:rPr>
  </w:style>
  <w:style w:type="paragraph" w:styleId="ListParagraph">
    <w:name w:val="List Paragraph"/>
    <w:basedOn w:val="Normal"/>
    <w:uiPriority w:val="34"/>
    <w:qFormat w:val="1"/>
    <w:rsid w:val="00AE4252"/>
    <w:pPr>
      <w:ind w:left="720"/>
      <w:contextualSpacing w:val="1"/>
    </w:pPr>
  </w:style>
  <w:style w:type="character" w:styleId="UnresolvedMention">
    <w:name w:val="Unresolved Mention"/>
    <w:basedOn w:val="DefaultParagraphFont"/>
    <w:uiPriority w:val="99"/>
    <w:semiHidden w:val="1"/>
    <w:unhideWhenUsed w:val="1"/>
    <w:rsid w:val="0028699D"/>
    <w:rPr>
      <w:color w:val="605e5c"/>
      <w:shd w:color="auto" w:fill="e1dfdd" w:val="clear"/>
    </w:rPr>
  </w:style>
  <w:style w:type="paragraph" w:styleId="Revision">
    <w:name w:val="Revision"/>
    <w:hidden w:val="1"/>
    <w:uiPriority w:val="99"/>
    <w:semiHidden w:val="1"/>
    <w:rsid w:val="003D3478"/>
    <w:pPr>
      <w:spacing w:after="0" w:line="240" w:lineRule="auto"/>
    </w:pPr>
  </w:style>
  <w:style w:type="table" w:styleId="TableGrid">
    <w:name w:val="Table Grid"/>
    <w:basedOn w:val="TableNormal"/>
    <w:uiPriority w:val="59"/>
    <w:rsid w:val="006F569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stTable6Colorful">
    <w:name w:val="List Table 6 Colorful"/>
    <w:basedOn w:val="TableNormal"/>
    <w:uiPriority w:val="51"/>
    <w:rsid w:val="006F5690"/>
    <w:pPr>
      <w:spacing w:after="0" w:line="240" w:lineRule="auto"/>
    </w:pPr>
    <w:rPr>
      <w:color w:val="000000" w:themeColor="text1"/>
    </w:rPr>
    <w:tblPr>
      <w:tblStyleRowBandSize w:val="1"/>
      <w:tblStyleColBandSize w:val="1"/>
      <w:tblBorders>
        <w:top w:color="000000" w:space="0" w:sz="4" w:themeColor="text1" w:val="single"/>
        <w:bottom w:color="000000" w:space="0" w:sz="4" w:themeColor="text1" w:val="single"/>
      </w:tblBorders>
    </w:tblPr>
    <w:tblStylePr w:type="firstRow">
      <w:rPr>
        <w:b w:val="1"/>
        <w:bCs w:val="1"/>
      </w:rPr>
      <w:tblPr/>
      <w:tcPr>
        <w:tcBorders>
          <w:bottom w:color="000000" w:space="0" w:sz="4" w:themeColor="text1" w:val="single"/>
        </w:tcBorders>
      </w:tcPr>
    </w:tblStylePr>
    <w:tblStylePr w:type="lastRow">
      <w:rPr>
        <w:b w:val="1"/>
        <w:bCs w:val="1"/>
      </w:rPr>
      <w:tblPr/>
      <w:tcPr>
        <w:tcBorders>
          <w:top w:color="000000" w:space="0" w:sz="4" w:themeColor="text1"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7Colorful">
    <w:name w:val="List Table 7 Colorful"/>
    <w:basedOn w:val="TableNormal"/>
    <w:uiPriority w:val="52"/>
    <w:rsid w:val="006F5690"/>
    <w:pPr>
      <w:spacing w:after="0" w:line="240" w:lineRule="auto"/>
    </w:pPr>
    <w:rPr>
      <w:color w:val="000000" w:themeColor="text1"/>
    </w:rPr>
    <w:tblPr>
      <w:tblStyleRowBandSize w:val="1"/>
      <w:tblStyleColBandSize w:val="1"/>
    </w:tblPr>
    <w:tblStylePr w:type="firstRow">
      <w:rPr>
        <w:rFonts w:asciiTheme="majorHAnsi" w:cstheme="majorBidi" w:eastAsiaTheme="majorEastAsia" w:hAnsiTheme="majorHAnsi"/>
        <w:i w:val="1"/>
        <w:iCs w:val="1"/>
        <w:sz w:val="26"/>
      </w:rPr>
      <w:tblPr/>
      <w:tcPr>
        <w:tcBorders>
          <w:bottom w:color="000000" w:space="0" w:sz="4" w:themeColor="text1" w:val="single"/>
        </w:tcBorders>
        <w:shd w:color="auto" w:fill="ffffff" w:themeFill="background1" w:val="clear"/>
      </w:tcPr>
    </w:tblStylePr>
    <w:tblStylePr w:type="lastRow">
      <w:rPr>
        <w:rFonts w:asciiTheme="majorHAnsi" w:cstheme="majorBidi" w:eastAsiaTheme="majorEastAsia" w:hAnsiTheme="majorHAnsi"/>
        <w:i w:val="1"/>
        <w:iCs w:val="1"/>
        <w:sz w:val="26"/>
      </w:rPr>
      <w:tblPr/>
      <w:tcPr>
        <w:tcBorders>
          <w:top w:color="000000" w:space="0" w:sz="4" w:themeColor="text1" w:val="single"/>
        </w:tcBorders>
        <w:shd w:color="auto" w:fill="ffffff" w:themeFill="background1" w:val="clear"/>
      </w:tcPr>
    </w:tblStylePr>
    <w:tblStylePr w:type="firstCol">
      <w:pPr>
        <w:jc w:val="right"/>
      </w:pPr>
      <w:rPr>
        <w:rFonts w:asciiTheme="majorHAnsi" w:cstheme="majorBidi" w:eastAsiaTheme="majorEastAsia" w:hAnsiTheme="majorHAnsi"/>
        <w:i w:val="1"/>
        <w:iCs w:val="1"/>
        <w:sz w:val="26"/>
      </w:rPr>
      <w:tblPr/>
      <w:tcPr>
        <w:tcBorders>
          <w:right w:color="000000" w:space="0" w:sz="4" w:themeColor="text1" w:val="single"/>
        </w:tcBorders>
        <w:shd w:color="auto" w:fill="ffffff" w:themeFill="background1" w:val="clear"/>
      </w:tcPr>
    </w:tblStylePr>
    <w:tblStylePr w:type="lastCol">
      <w:rPr>
        <w:rFonts w:asciiTheme="majorHAnsi" w:cstheme="majorBidi" w:eastAsiaTheme="majorEastAsia" w:hAnsiTheme="majorHAnsi"/>
        <w:i w:val="1"/>
        <w:iCs w:val="1"/>
        <w:sz w:val="26"/>
      </w:rPr>
      <w:tblPr/>
      <w:tcPr>
        <w:tcBorders>
          <w:left w:color="000000" w:space="0" w:sz="4" w:themeColor="text1" w:val="single"/>
        </w:tcBorders>
        <w:shd w:color="auto" w:fill="ffffff" w:themeFill="background1" w:val="clear"/>
      </w:tc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tblStylePr w:type="neCell">
      <w:tblPr/>
      <w:tcPr>
        <w:tcBorders>
          <w:left w:space="0" w:sz="0" w:val="nil"/>
        </w:tcBorders>
      </w:tcPr>
    </w:tblStylePr>
    <w:tblStylePr w:type="nwCell">
      <w:tblPr/>
      <w:tcPr>
        <w:tcBorders>
          <w:right w:space="0" w:sz="0" w:val="nil"/>
        </w:tcBorders>
      </w:tcPr>
    </w:tblStylePr>
    <w:tblStylePr w:type="seCell">
      <w:tblPr/>
      <w:tcPr>
        <w:tcBorders>
          <w:left w:space="0" w:sz="0" w:val="nil"/>
        </w:tcBorders>
      </w:tcPr>
    </w:tblStylePr>
    <w:tblStylePr w:type="swCell">
      <w:tblPr/>
      <w:tcPr>
        <w:tcBorders>
          <w:right w:space="0" w:sz="0" w:val="nil"/>
        </w:tcBorders>
      </w:tcPr>
    </w:tblStylePr>
  </w:style>
  <w:style w:type="paragraph" w:styleId="BalloonText">
    <w:name w:val="Balloon Text"/>
    <w:basedOn w:val="Normal"/>
    <w:link w:val="BalloonTextChar"/>
    <w:uiPriority w:val="99"/>
    <w:semiHidden w:val="1"/>
    <w:unhideWhenUsed w:val="1"/>
    <w:rsid w:val="006D5AC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D5ACC"/>
    <w:rPr>
      <w:rFonts w:ascii="Segoe UI" w:cs="Segoe UI" w:hAnsi="Segoe UI"/>
      <w:sz w:val="18"/>
      <w:szCs w:val="18"/>
    </w:rPr>
  </w:style>
  <w:style w:type="character" w:styleId="Heading2Char" w:customStyle="1">
    <w:name w:val="Heading 2 Char"/>
    <w:basedOn w:val="DefaultParagraphFont"/>
    <w:link w:val="Heading2"/>
    <w:uiPriority w:val="9"/>
    <w:rsid w:val="00885BD2"/>
    <w:rPr>
      <w:rFonts w:asciiTheme="majorHAnsi" w:cstheme="majorBidi" w:eastAsiaTheme="majorEastAsia" w:hAnsiTheme="majorHAnsi"/>
      <w:color w:val="365f91" w:themeColor="accent1" w:themeShade="0000BF"/>
      <w:sz w:val="26"/>
      <w:szCs w:val="26"/>
    </w:rPr>
  </w:style>
  <w:style w:type="character" w:styleId="CommentReference">
    <w:name w:val="annotation reference"/>
    <w:basedOn w:val="DefaultParagraphFont"/>
    <w:uiPriority w:val="99"/>
    <w:semiHidden w:val="1"/>
    <w:unhideWhenUsed w:val="1"/>
    <w:rsid w:val="002A71F6"/>
    <w:rPr>
      <w:sz w:val="16"/>
      <w:szCs w:val="16"/>
    </w:rPr>
  </w:style>
  <w:style w:type="paragraph" w:styleId="CommentText">
    <w:name w:val="annotation text"/>
    <w:basedOn w:val="Normal"/>
    <w:link w:val="CommentTextChar"/>
    <w:uiPriority w:val="99"/>
    <w:semiHidden w:val="1"/>
    <w:unhideWhenUsed w:val="1"/>
    <w:rsid w:val="002A71F6"/>
    <w:pPr>
      <w:spacing w:line="240" w:lineRule="auto"/>
    </w:pPr>
    <w:rPr>
      <w:sz w:val="20"/>
      <w:szCs w:val="20"/>
    </w:rPr>
  </w:style>
  <w:style w:type="character" w:styleId="CommentTextChar" w:customStyle="1">
    <w:name w:val="Comment Text Char"/>
    <w:basedOn w:val="DefaultParagraphFont"/>
    <w:link w:val="CommentText"/>
    <w:uiPriority w:val="99"/>
    <w:semiHidden w:val="1"/>
    <w:rsid w:val="002A71F6"/>
    <w:rPr>
      <w:sz w:val="20"/>
      <w:szCs w:val="20"/>
    </w:rPr>
  </w:style>
  <w:style w:type="paragraph" w:styleId="CommentSubject">
    <w:name w:val="annotation subject"/>
    <w:basedOn w:val="CommentText"/>
    <w:next w:val="CommentText"/>
    <w:link w:val="CommentSubjectChar"/>
    <w:uiPriority w:val="99"/>
    <w:semiHidden w:val="1"/>
    <w:unhideWhenUsed w:val="1"/>
    <w:rsid w:val="002A71F6"/>
    <w:rPr>
      <w:b w:val="1"/>
      <w:bCs w:val="1"/>
    </w:rPr>
  </w:style>
  <w:style w:type="character" w:styleId="CommentSubjectChar" w:customStyle="1">
    <w:name w:val="Comment Subject Char"/>
    <w:basedOn w:val="CommentTextChar"/>
    <w:link w:val="CommentSubject"/>
    <w:uiPriority w:val="99"/>
    <w:semiHidden w:val="1"/>
    <w:rsid w:val="002A71F6"/>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rPr>
      <w:color w:val="000000"/>
    </w:rPr>
    <w:tblPr>
      <w:tblStyleRowBandSize w:val="1"/>
      <w:tblStyleColBandSize w:val="1"/>
    </w:tblPr>
    <w:tblStylePr w:type="firstRow">
      <w:rPr>
        <w:b w:val="1"/>
      </w:rPr>
      <w:tblPr/>
      <w:tcPr>
        <w:tcBorders>
          <w:bottom w:color="000000" w:space="0" w:sz="4" w:val="single"/>
        </w:tcBorders>
      </w:tcPr>
    </w:tblStylePr>
    <w:tblStylePr w:type="lastRow">
      <w:rPr>
        <w:b w:val="1"/>
      </w:rPr>
      <w:tblPr/>
      <w:tcPr>
        <w:tcBorders>
          <w:top w:color="000000" w:space="0" w:sz="4" w:val="single"/>
        </w:tcBorders>
      </w:tcPr>
    </w:tblStylePr>
    <w:tblStylePr w:type="firstCol">
      <w:rPr>
        <w:b w:val="1"/>
      </w:rPr>
    </w:tblStylePr>
    <w:tblStylePr w:type="lastCol">
      <w:rPr>
        <w:b w:val="1"/>
      </w:rPr>
    </w:tblStylePr>
    <w:tblStylePr w:type="band1Vert">
      <w:tblPr/>
      <w:tcPr>
        <w:shd w:color="auto" w:fill="cccccc" w:val="clear"/>
      </w:tcPr>
    </w:tblStylePr>
    <w:tblStylePr w:type="band1Horz">
      <w:tblPr/>
      <w:tcPr>
        <w:shd w:color="auto" w:fill="cccccc" w:val="clear"/>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color w:val="000000"/>
    </w:rPr>
    <w:tblPr>
      <w:tblStyleRowBandSize w:val="1"/>
      <w:tblStyleColBandSize w:val="1"/>
      <w:tblCellMar>
        <w:top w:w="0.0" w:type="dxa"/>
        <w:left w:w="115.0" w:type="dxa"/>
        <w:bottom w:w="0.0" w:type="dxa"/>
        <w:right w:w="115.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000000" w:space="0" w:sz="4" w:val="single"/>
        </w:tcBorders>
      </w:tcPr>
    </w:tblStylePr>
    <w:tblStylePr w:type="lastCol">
      <w:rPr>
        <w:b w:val="1"/>
      </w:rPr>
    </w:tblStylePr>
    <w:tblStylePr w:type="lastRow">
      <w:rPr>
        <w:b w:val="1"/>
      </w:rPr>
      <w:tcPr>
        <w:tcBorders>
          <w:top w:color="000000"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IO3F4c7qJQqU+u+wqiTPLHq6rw==">CgMxLjAyCWguMWZvYjl0ZTIIaC5namRneHMyCWguMzBqMHpsbDgAciExcjZVVGJ6WlY4MnhfWFFobXlIRkFveVFTTWZvT0xBVWc=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2023-04-03T04:56:00Z</dcterms:created>
  <dc:creator>acer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f4fb6baed6085032796397886c1402068c03d1ffd25eedcc3a7725951831f719</vt:lpwstr>
  </property>
</Properties>
</file>