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8B436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Title of the Paper (16pt Times New Roman, Bold, Centered)</w:t>
      </w:r>
    </w:p>
    <w:p w14:paraId="7AA6548E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(Leave two spaces here)</w:t>
      </w:r>
    </w:p>
    <w:p w14:paraId="5A06BCBA" w14:textId="77777777" w:rsidR="00BE1609" w:rsidRDefault="00BE16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4F831033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First Author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Second Author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Third Author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14:paraId="72114C31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Full address of first author including affiliation</w:t>
      </w:r>
    </w:p>
    <w:p w14:paraId="1CA4E193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Full address of second author including affiliation</w:t>
      </w:r>
    </w:p>
    <w:p w14:paraId="7C6E7BEC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Full address of third author including affiliation</w:t>
      </w:r>
    </w:p>
    <w:p w14:paraId="3594FD6D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*Corresponding author: author@university.edu.</w:t>
      </w:r>
    </w:p>
    <w:p w14:paraId="2FCB1FA2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(use Single Space, 12pt Times New Roman and Centered)</w:t>
      </w:r>
    </w:p>
    <w:p w14:paraId="1E8945F2" w14:textId="77777777" w:rsidR="00BE1609" w:rsidRDefault="00BE1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4D2251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(Leave two spaces here)</w:t>
      </w:r>
    </w:p>
    <w:p w14:paraId="112A4942" w14:textId="77777777" w:rsidR="00BE1609" w:rsidRDefault="00634F0B">
      <w:pPr>
        <w:pStyle w:val="Heading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(Capitalize, Centered &amp; Italicize)</w:t>
      </w:r>
    </w:p>
    <w:p w14:paraId="1E491590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sample of the format of your paper. A minimum of 7 A4-sized pages (21 x 29.7 cm) pages with top, bottom left and right margins of 2.54 cm. Use a single space. Use 12pt size Times New Roman. Texts are justified.</w:t>
      </w:r>
    </w:p>
    <w:p w14:paraId="74CCEBB5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one space here)</w:t>
      </w:r>
    </w:p>
    <w:p w14:paraId="747B7A02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Keywords: Write your keywords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(max 5) (Italicize, Capitalize the first letter of the first keyword only, separate each keyword with a comma)</w:t>
      </w:r>
    </w:p>
    <w:p w14:paraId="40049749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2CAF67" w14:textId="77777777" w:rsidR="00BE1609" w:rsidRDefault="00BE1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51BAC3" w14:textId="77777777" w:rsidR="00BE1609" w:rsidRDefault="00634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two spaces here)</w:t>
      </w:r>
    </w:p>
    <w:p w14:paraId="7676BB74" w14:textId="77777777" w:rsidR="00BE1609" w:rsidRDefault="00634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INTRODUCTION (14pt Times New Roman)</w:t>
      </w:r>
    </w:p>
    <w:p w14:paraId="44025191" w14:textId="77777777" w:rsidR="00BE1609" w:rsidRDefault="00634F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 of the text should be in 12pt Times New Roman. Texts are justified.</w:t>
      </w:r>
    </w:p>
    <w:p w14:paraId="28000E67" w14:textId="77777777" w:rsidR="00BE1609" w:rsidRDefault="00BE16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356062" w14:textId="77777777" w:rsidR="00BE1609" w:rsidRDefault="00634F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two spaces here)</w:t>
      </w:r>
    </w:p>
    <w:p w14:paraId="0BBF56B6" w14:textId="77777777" w:rsidR="00BE1609" w:rsidRDefault="00634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LITERATURE REVIEW (14pt Times New Roman)</w:t>
      </w:r>
    </w:p>
    <w:p w14:paraId="466E460E" w14:textId="77777777" w:rsidR="00BE1609" w:rsidRDefault="00634F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 of the text should be in 12pt Times New Roman. Texts are justified.</w:t>
      </w:r>
    </w:p>
    <w:p w14:paraId="0F825AEF" w14:textId="77777777" w:rsidR="00BE1609" w:rsidRDefault="00BE1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7401E" w14:textId="77777777" w:rsidR="00BE1609" w:rsidRDefault="00634F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two spaces here)</w:t>
      </w:r>
    </w:p>
    <w:p w14:paraId="409388B4" w14:textId="77777777" w:rsidR="00BE1609" w:rsidRDefault="00634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METHODOLOGY (14pt Times New Roman)</w:t>
      </w:r>
    </w:p>
    <w:p w14:paraId="76F03801" w14:textId="77777777" w:rsidR="00BE1609" w:rsidRDefault="00634F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Body of the text should be in 12pt Times New Roman. Mathematical Equations must be numbered as follows: </w:t>
      </w:r>
    </w:p>
    <w:p w14:paraId="78A17DAA" w14:textId="77777777" w:rsidR="00BE1609" w:rsidRDefault="00BE16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5104"/>
        <w:gridCol w:w="2679"/>
      </w:tblGrid>
      <w:tr w:rsidR="00BE1609" w14:paraId="2080A1F1" w14:textId="77777777">
        <w:tc>
          <w:tcPr>
            <w:tcW w:w="1243" w:type="dxa"/>
            <w:shd w:val="clear" w:color="auto" w:fill="auto"/>
          </w:tcPr>
          <w:p w14:paraId="665ED3F9" w14:textId="77777777" w:rsidR="00BE1609" w:rsidRDefault="00BE1609"/>
        </w:tc>
        <w:tc>
          <w:tcPr>
            <w:tcW w:w="5104" w:type="dxa"/>
            <w:shd w:val="clear" w:color="auto" w:fill="auto"/>
          </w:tcPr>
          <w:p w14:paraId="5EF6E2FA" w14:textId="77777777" w:rsidR="00BE1609" w:rsidRDefault="00634F0B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20D8907F" wp14:editId="2F2C2EAE">
                  <wp:extent cx="2709545" cy="390525"/>
                  <wp:effectExtent l="0" t="0" r="0" b="0"/>
                  <wp:docPr id="2" name="image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4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shd w:val="clear" w:color="auto" w:fill="auto"/>
          </w:tcPr>
          <w:p w14:paraId="406E83C3" w14:textId="77777777" w:rsidR="00BE1609" w:rsidRDefault="0063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02"/>
                <w:tab w:val="right" w:pos="7513"/>
                <w:tab w:val="right" w:pos="97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14:paraId="6AC19BBD" w14:textId="77777777" w:rsidR="00BE1609" w:rsidRDefault="00BE1609"/>
        </w:tc>
      </w:tr>
      <w:tr w:rsidR="00BE1609" w14:paraId="493D236A" w14:textId="77777777">
        <w:tc>
          <w:tcPr>
            <w:tcW w:w="1243" w:type="dxa"/>
            <w:shd w:val="clear" w:color="auto" w:fill="auto"/>
          </w:tcPr>
          <w:p w14:paraId="01D14CD5" w14:textId="77777777" w:rsidR="00BE1609" w:rsidRDefault="00BE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02"/>
                <w:tab w:val="right" w:pos="7513"/>
                <w:tab w:val="center" w:pos="1985"/>
                <w:tab w:val="right" w:pos="9752"/>
              </w:tabs>
              <w:ind w:righ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D3648" w14:textId="77777777" w:rsidR="00BE1609" w:rsidRDefault="00634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where,</w:t>
            </w:r>
          </w:p>
        </w:tc>
        <w:tc>
          <w:tcPr>
            <w:tcW w:w="5104" w:type="dxa"/>
            <w:shd w:val="clear" w:color="auto" w:fill="auto"/>
          </w:tcPr>
          <w:p w14:paraId="3F985D1F" w14:textId="77777777" w:rsidR="00BE1609" w:rsidRDefault="00634F0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1929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line spacing here)</w:t>
            </w:r>
          </w:p>
          <w:p w14:paraId="53394D7F" w14:textId="77777777" w:rsidR="00BE1609" w:rsidRDefault="00BE1609"/>
        </w:tc>
        <w:tc>
          <w:tcPr>
            <w:tcW w:w="2679" w:type="dxa"/>
            <w:shd w:val="clear" w:color="auto" w:fill="auto"/>
          </w:tcPr>
          <w:p w14:paraId="585ED5CE" w14:textId="77777777" w:rsidR="00BE1609" w:rsidRDefault="00BE1609"/>
        </w:tc>
      </w:tr>
      <w:tr w:rsidR="00BE1609" w14:paraId="22583E0F" w14:textId="77777777">
        <w:tc>
          <w:tcPr>
            <w:tcW w:w="1243" w:type="dxa"/>
            <w:shd w:val="clear" w:color="auto" w:fill="auto"/>
          </w:tcPr>
          <w:p w14:paraId="498482B5" w14:textId="77777777" w:rsidR="00BE1609" w:rsidRDefault="00BE1609"/>
        </w:tc>
        <w:tc>
          <w:tcPr>
            <w:tcW w:w="5104" w:type="dxa"/>
            <w:shd w:val="clear" w:color="auto" w:fill="auto"/>
          </w:tcPr>
          <w:p w14:paraId="7B97347D" w14:textId="77777777" w:rsidR="00BE1609" w:rsidRDefault="00634F0B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4D079B2F" wp14:editId="37D928F9">
                  <wp:extent cx="1181735" cy="445769"/>
                  <wp:effectExtent l="0" t="0" r="0" b="0"/>
                  <wp:docPr id="3" name="image3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4457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shd w:val="clear" w:color="auto" w:fill="auto"/>
          </w:tcPr>
          <w:p w14:paraId="72C59E56" w14:textId="77777777" w:rsidR="00BE1609" w:rsidRDefault="00634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14:paraId="2E517FD2" w14:textId="77777777" w:rsidR="00BE1609" w:rsidRDefault="00634F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one space here)</w:t>
      </w:r>
    </w:p>
    <w:p w14:paraId="07A161E0" w14:textId="77777777" w:rsidR="00BE1609" w:rsidRDefault="00634F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Subsection (12pt Times New Roman)</w:t>
      </w:r>
    </w:p>
    <w:p w14:paraId="553485E5" w14:textId="77777777" w:rsidR="00BE1609" w:rsidRDefault="00634F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 of the text should be in 12pt Times New Roman. Texts are justified.</w:t>
      </w:r>
    </w:p>
    <w:p w14:paraId="5B0192E2" w14:textId="77777777" w:rsidR="00BE1609" w:rsidRDefault="00BE16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6CC922" w14:textId="77777777" w:rsidR="00BE1609" w:rsidRDefault="00634F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i/>
          <w:sz w:val="24"/>
          <w:szCs w:val="24"/>
        </w:rPr>
        <w:t>(Leave two spaces here)</w:t>
      </w:r>
    </w:p>
    <w:p w14:paraId="766CFFCE" w14:textId="77777777" w:rsidR="00BE1609" w:rsidRDefault="00634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EMPIRICAL RESULTS (14pt Times New Roman)</w:t>
      </w:r>
    </w:p>
    <w:p w14:paraId="4E9E7599" w14:textId="77777777" w:rsidR="00BE1609" w:rsidRDefault="00634F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 of the text should be in 12pt Times New Roman. Figures and Tables should be numbered as follows: Figure 1:, Figure 2: .. etc., Table 1:, Table 2:,.. etc. Texts are justified.</w:t>
      </w:r>
    </w:p>
    <w:p w14:paraId="301260D9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one space here)</w:t>
      </w:r>
    </w:p>
    <w:p w14:paraId="4C1A3EBF" w14:textId="77777777" w:rsidR="00BE1609" w:rsidRDefault="00634F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4.1 Tables and figures</w:t>
      </w:r>
    </w:p>
    <w:p w14:paraId="25E5FE07" w14:textId="77777777" w:rsidR="00BE1609" w:rsidRDefault="00634F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Tables and figures must be emb</w:t>
      </w:r>
      <w:r>
        <w:rPr>
          <w:rFonts w:ascii="Times New Roman" w:eastAsia="Times New Roman" w:hAnsi="Times New Roman" w:cs="Times New Roman"/>
          <w:sz w:val="24"/>
          <w:szCs w:val="24"/>
        </w:rPr>
        <w:t>edded into the texts and not supplied separately. Use 10pt Times New Roman. The title must be above the tables and below the figures. They should be kept to a minimum number of words and designed to be as simple as possible. Written texts use Arabic numera</w:t>
      </w:r>
      <w:r>
        <w:rPr>
          <w:rFonts w:ascii="Times New Roman" w:eastAsia="Times New Roman" w:hAnsi="Times New Roman" w:cs="Times New Roman"/>
          <w:sz w:val="24"/>
          <w:szCs w:val="24"/>
        </w:rPr>
        <w:t>ls and single spacing. The source should be mentioned for figures only.</w:t>
      </w:r>
    </w:p>
    <w:p w14:paraId="034F27D1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one space here)</w:t>
      </w:r>
    </w:p>
    <w:p w14:paraId="0EB7252A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19847E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FCA427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Table 1: The Title of the Table Capitalize the First Word (10pt Times New Roman)</w:t>
      </w:r>
    </w:p>
    <w:tbl>
      <w:tblPr>
        <w:tblStyle w:val="a0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BE1609" w14:paraId="6059E6F2" w14:textId="77777777" w:rsidTr="00BE1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000000"/>
            </w:tcBorders>
          </w:tcPr>
          <w:p w14:paraId="0B321F7F" w14:textId="77777777" w:rsidR="00BE1609" w:rsidRDefault="00634F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14:paraId="1CEF0EE0" w14:textId="77777777" w:rsidR="00BE1609" w:rsidRDefault="0063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14:paraId="1A1A62A5" w14:textId="77777777" w:rsidR="00BE1609" w:rsidRDefault="0063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0147216C" w14:textId="77777777" w:rsidR="00BE1609" w:rsidRDefault="0063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20D9D8AB" w14:textId="77777777" w:rsidR="00BE1609" w:rsidRDefault="0063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</w:p>
        </w:tc>
      </w:tr>
      <w:tr w:rsidR="00BE1609" w14:paraId="2C515CCB" w14:textId="77777777" w:rsidTr="00BE1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000000"/>
            </w:tcBorders>
          </w:tcPr>
          <w:p w14:paraId="73FDBA8C" w14:textId="77777777" w:rsidR="00BE1609" w:rsidRDefault="00634F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Ff1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14:paraId="67EA9347" w14:textId="77777777" w:rsidR="00BE1609" w:rsidRDefault="0063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14:paraId="2D2105E7" w14:textId="77777777" w:rsidR="00BE1609" w:rsidRDefault="0063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66EC331A" w14:textId="77777777" w:rsidR="00BE1609" w:rsidRDefault="0063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14:paraId="0E715187" w14:textId="77777777" w:rsidR="00BE1609" w:rsidRDefault="0063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E1609" w14:paraId="4E9ACADC" w14:textId="77777777" w:rsidTr="00BE1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861ACCA" w14:textId="77777777" w:rsidR="00BE1609" w:rsidRDefault="00634F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</w:p>
        </w:tc>
        <w:tc>
          <w:tcPr>
            <w:tcW w:w="1803" w:type="dxa"/>
          </w:tcPr>
          <w:p w14:paraId="662EA170" w14:textId="77777777" w:rsidR="00BE1609" w:rsidRDefault="0063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3" w:type="dxa"/>
          </w:tcPr>
          <w:p w14:paraId="25F440A6" w14:textId="77777777" w:rsidR="00BE1609" w:rsidRDefault="0063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4" w:type="dxa"/>
          </w:tcPr>
          <w:p w14:paraId="2660D68E" w14:textId="77777777" w:rsidR="00BE1609" w:rsidRDefault="0063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04" w:type="dxa"/>
          </w:tcPr>
          <w:p w14:paraId="6C13CC8A" w14:textId="77777777" w:rsidR="00BE1609" w:rsidRDefault="0063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1609" w14:paraId="20A8DB6E" w14:textId="77777777" w:rsidTr="00BE1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3653629" w14:textId="77777777" w:rsidR="00BE1609" w:rsidRDefault="00634F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</w:p>
        </w:tc>
        <w:tc>
          <w:tcPr>
            <w:tcW w:w="1803" w:type="dxa"/>
          </w:tcPr>
          <w:p w14:paraId="7CDB8D5F" w14:textId="77777777" w:rsidR="00BE1609" w:rsidRDefault="0063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3" w:type="dxa"/>
          </w:tcPr>
          <w:p w14:paraId="0DCB647C" w14:textId="77777777" w:rsidR="00BE1609" w:rsidRDefault="0063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4" w:type="dxa"/>
          </w:tcPr>
          <w:p w14:paraId="4EDA9CF9" w14:textId="77777777" w:rsidR="00BE1609" w:rsidRDefault="0063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4" w:type="dxa"/>
          </w:tcPr>
          <w:p w14:paraId="33C4D194" w14:textId="77777777" w:rsidR="00BE1609" w:rsidRDefault="0063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E1609" w14:paraId="3214B5AA" w14:textId="77777777" w:rsidTr="00BE1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8F6DB70" w14:textId="77777777" w:rsidR="00BE1609" w:rsidRDefault="00634F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</w:p>
        </w:tc>
        <w:tc>
          <w:tcPr>
            <w:tcW w:w="1803" w:type="dxa"/>
          </w:tcPr>
          <w:p w14:paraId="014D0E50" w14:textId="77777777" w:rsidR="00BE1609" w:rsidRDefault="0063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3" w:type="dxa"/>
          </w:tcPr>
          <w:p w14:paraId="042AD680" w14:textId="77777777" w:rsidR="00BE1609" w:rsidRDefault="0063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4" w:type="dxa"/>
          </w:tcPr>
          <w:p w14:paraId="7A73B242" w14:textId="77777777" w:rsidR="00BE1609" w:rsidRDefault="0063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4" w:type="dxa"/>
          </w:tcPr>
          <w:p w14:paraId="438A776F" w14:textId="77777777" w:rsidR="00BE1609" w:rsidRDefault="0063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14:paraId="5F8A1A84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281909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105BC90" wp14:editId="741FAD90">
                <wp:extent cx="1200785" cy="501015"/>
                <wp:effectExtent l="0" t="0" r="0" b="0"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010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71CF65" w14:textId="77777777" w:rsidR="00AD0A23" w:rsidRDefault="00634F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200785" cy="50101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785" cy="5010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D555B5E" w14:textId="77777777" w:rsidR="00BE1609" w:rsidRDefault="00BE1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9EEA9B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Figure 1: The Title of the Figure Capitalize the First Word (10pt Times New Roman)</w:t>
      </w:r>
    </w:p>
    <w:p w14:paraId="719B24C2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Source: Extracted and modified from … (10pt Times New Roman)</w:t>
      </w:r>
    </w:p>
    <w:p w14:paraId="67DE0842" w14:textId="77777777" w:rsidR="00BE1609" w:rsidRDefault="00BE1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FA777" w14:textId="77777777" w:rsidR="00BE1609" w:rsidRDefault="00634F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one space here)</w:t>
      </w:r>
    </w:p>
    <w:p w14:paraId="43F851C1" w14:textId="77777777" w:rsidR="00BE1609" w:rsidRDefault="00634F0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 List</w:t>
      </w:r>
    </w:p>
    <w:p w14:paraId="28652491" w14:textId="77777777" w:rsidR="00BE1609" w:rsidRDefault="00634F0B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Lists can be provided using either numbers or bullets:</w:t>
      </w:r>
    </w:p>
    <w:p w14:paraId="4B38A525" w14:textId="77777777" w:rsidR="00BE1609" w:rsidRDefault="00634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item 1 like this;</w:t>
      </w:r>
    </w:p>
    <w:p w14:paraId="57244772" w14:textId="77777777" w:rsidR="00BE1609" w:rsidRDefault="00634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item 2 is an example of a longer list item that wraps to a second line, where the second line is indented.</w:t>
      </w:r>
    </w:p>
    <w:p w14:paraId="25D5B370" w14:textId="77777777" w:rsidR="00BE1609" w:rsidRDefault="00BE1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518D0F" w14:textId="77777777" w:rsidR="00BE1609" w:rsidRDefault="00634F0B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 example for bulleted items like this:</w:t>
      </w:r>
    </w:p>
    <w:p w14:paraId="5D9D22DB" w14:textId="77777777" w:rsidR="00BE1609" w:rsidRDefault="00634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item 1;</w:t>
      </w:r>
    </w:p>
    <w:p w14:paraId="704F246A" w14:textId="77777777" w:rsidR="00BE1609" w:rsidRDefault="00634F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item 2.</w:t>
      </w:r>
    </w:p>
    <w:p w14:paraId="2734F630" w14:textId="77777777" w:rsidR="00BE1609" w:rsidRDefault="00BE1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556B2" w14:textId="77777777" w:rsidR="00BE1609" w:rsidRDefault="00634F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two spaces here)</w:t>
      </w:r>
    </w:p>
    <w:p w14:paraId="546BBA89" w14:textId="77777777" w:rsidR="00BE1609" w:rsidRDefault="00634F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CONCLUSION (14pt Times New Roman)</w:t>
      </w:r>
    </w:p>
    <w:p w14:paraId="43E00BBC" w14:textId="77777777" w:rsidR="00BE1609" w:rsidRDefault="00634F0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Please, follow our instructions faithfully, otherwise you have to resubmit your full paper. Texts are justified.</w:t>
      </w:r>
    </w:p>
    <w:p w14:paraId="052F0FB4" w14:textId="77777777" w:rsidR="00BE1609" w:rsidRDefault="00BE1609">
      <w:pPr>
        <w:spacing w:after="0" w:line="240" w:lineRule="auto"/>
        <w:rPr>
          <w:sz w:val="24"/>
          <w:szCs w:val="24"/>
        </w:rPr>
      </w:pPr>
    </w:p>
    <w:p w14:paraId="797A2F26" w14:textId="77777777" w:rsidR="00BE1609" w:rsidRDefault="00634F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(Leave two spaces here)</w:t>
      </w:r>
    </w:p>
    <w:p w14:paraId="5F6FBEF0" w14:textId="77777777" w:rsidR="00BE1609" w:rsidRDefault="00634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REFERENCES (14pt Times New Roman)</w:t>
      </w:r>
    </w:p>
    <w:p w14:paraId="5CFCDA06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12pt size Times New Roman, Single spacing, APA Style for all books, journal, proceeding, etc. citation.</w:t>
      </w:r>
    </w:p>
    <w:p w14:paraId="6B44F40A" w14:textId="77777777" w:rsidR="00BE1609" w:rsidRDefault="00BE1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317FF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JOURNALS, MAGAZINES, NEWSPAPERS IN PRINT FORMAT</w:t>
      </w:r>
    </w:p>
    <w:p w14:paraId="41CC6EEC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 Form</w:t>
      </w:r>
    </w:p>
    <w:p w14:paraId="5AC8330B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Author, A. A., Author, B. B., &amp; Author, C. C. (Year). Title of article.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Journal, xx, </w:t>
      </w:r>
      <w:r>
        <w:rPr>
          <w:rFonts w:ascii="Times New Roman" w:eastAsia="Times New Roman" w:hAnsi="Times New Roman" w:cs="Times New Roman"/>
          <w:sz w:val="24"/>
          <w:szCs w:val="24"/>
        </w:rPr>
        <w:t>xxx-xxx.</w:t>
      </w:r>
    </w:p>
    <w:p w14:paraId="4D5B08A2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70E50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 Author</w:t>
      </w:r>
    </w:p>
    <w:p w14:paraId="649CD645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Williams, J. H. (2018). Employee engagement: Improving participation in safety.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Professional Safety,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53(12), 40-45.</w:t>
      </w:r>
    </w:p>
    <w:p w14:paraId="6FD512A5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Two to Seven Authors [List all authors]</w:t>
      </w:r>
    </w:p>
    <w:p w14:paraId="5C392E43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Keller, T. E., Cusick, G. R., &amp; Courtney, M. E. (2024). Approaching the transition to adulthood: Distinctive profiles of adolescents aging out of the child welfare system.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Social Services Review,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81, 453-484.</w:t>
      </w:r>
    </w:p>
    <w:p w14:paraId="18B0B6F4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776B9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Magazi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 Article</w:t>
      </w:r>
    </w:p>
    <w:p w14:paraId="72426701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Mathews, J., Berrett, D., &amp; Brillman, D. (2025, May 16). Other winning equations.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Newsweek,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145(20),  48-59.</w:t>
      </w:r>
    </w:p>
    <w:p w14:paraId="78767C5C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8DBDF2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Newspaper Article with No Author and Discontinuous Pages</w:t>
      </w:r>
    </w:p>
    <w:p w14:paraId="7CBCD5BC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Generic Prozac debuts. (2021, August 3).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Washington Post,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pp. E1, E4.</w:t>
      </w:r>
    </w:p>
    <w:p w14:paraId="736091FE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DB17C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KS, CHAPTERS IN BOOKS, REPORTS, ETC.</w:t>
      </w:r>
    </w:p>
    <w:p w14:paraId="201ED7C3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81507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 Form</w:t>
      </w:r>
    </w:p>
    <w:p w14:paraId="1A5B886F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Author, A. A. (Year).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Title of work</w:t>
      </w:r>
      <w:r>
        <w:rPr>
          <w:rFonts w:ascii="Times New Roman" w:eastAsia="Times New Roman" w:hAnsi="Times New Roman" w:cs="Times New Roman"/>
          <w:sz w:val="24"/>
          <w:szCs w:val="24"/>
        </w:rPr>
        <w:t>. Location: Publisher.</w:t>
      </w:r>
    </w:p>
    <w:p w14:paraId="448DCA76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9CFD4B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 Author</w:t>
      </w:r>
    </w:p>
    <w:p w14:paraId="37ADD35B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Alexie, S. (2022).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business of fancy dancing: stories and poems.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Brooklyn, NY: Hang Loose Press.</w:t>
      </w:r>
    </w:p>
    <w:p w14:paraId="22920AE0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B7EB6C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Corporate Author with an Edition and Published by the Corporate Author</w:t>
      </w:r>
    </w:p>
    <w:p w14:paraId="45CF62FA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Psychiatric Association. (2024).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Diagnostic and statistical manual of mental disorders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(4th ed.). Washington, DC: Author.</w:t>
      </w:r>
    </w:p>
    <w:p w14:paraId="4014FB5E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FC2A39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Anonymous Author</w:t>
      </w:r>
    </w:p>
    <w:p w14:paraId="07ECCE30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Dorland’s illustrated medical dictio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(31st ed.). (2024). Philadelphia, PA: Saunders.</w:t>
      </w:r>
    </w:p>
    <w:p w14:paraId="22AEB61F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D7CF5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Chapter in a Book</w:t>
      </w:r>
    </w:p>
    <w:p w14:paraId="05FF979A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Booth-LaForce, C., &amp; Kerns, K. A. (2024). Child-parent attachment relationships, peer relationships, and peer-group functioning. InK. H. Rubin, W. M. Bukowski, &amp; B. Laursen (Eds.),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Handbook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peer interactions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relationships, and groups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(pp. 490-507). 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York, NY: Guilford Press.</w:t>
      </w:r>
    </w:p>
    <w:p w14:paraId="3967A532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39361F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ERIC Document</w:t>
      </w:r>
    </w:p>
    <w:p w14:paraId="25DE1DA1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Shyyan, V., Thurlow, M., &amp; Liu, K. (2024).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Student perceptions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instructional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strategies: Voices of English language learners with disabilities.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Minneapolis, MN: National Center on Educational Outcomes, Universit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 Minnesota. Retrieved from the ERIC database. (ED495903)</w:t>
      </w:r>
    </w:p>
    <w:p w14:paraId="55235F36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87D86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JOURNALS, MAGAZINES, NEWSPAPERS</w:t>
      </w:r>
    </w:p>
    <w:p w14:paraId="65C44E86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56A82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Format - Databases</w:t>
      </w:r>
    </w:p>
    <w:p w14:paraId="65D3D26B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Author, A. A., Author, B. B., &amp; Author, C. C. (Year). Title of article.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Name of Journal, xx,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xxx-xxx. doi:xxxxxxxxx </w:t>
      </w:r>
    </w:p>
    <w:p w14:paraId="0A3C40DF" w14:textId="77777777" w:rsidR="00BE1609" w:rsidRDefault="00BE160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15100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Article from an Online Magazine</w:t>
      </w:r>
    </w:p>
    <w:p w14:paraId="15DD4A5D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Lodewijkx, H. F. M. (2024, May 23). Individual-group continuity in cooperation and competition.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 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sues in Social Psychology,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6(12), 166-182. Retrieved from http://www.uiowa.edu/~grpproc/crisp/crisp.6.12.htm</w:t>
      </w:r>
    </w:p>
    <w:p w14:paraId="657A91B2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4578C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ONLINE RESOURCES</w:t>
      </w:r>
    </w:p>
    <w:p w14:paraId="350F4F55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32F92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Form</w:t>
      </w:r>
    </w:p>
    <w:p w14:paraId="2324B6A7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Author, A. A. (Year).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Title of work. </w:t>
      </w:r>
      <w:r>
        <w:rPr>
          <w:rFonts w:ascii="Times New Roman" w:eastAsia="Times New Roman" w:hAnsi="Times New Roman" w:cs="Times New Roman"/>
          <w:sz w:val="24"/>
          <w:szCs w:val="24"/>
        </w:rPr>
        <w:t>Retrieved from web address.</w:t>
      </w:r>
    </w:p>
    <w:p w14:paraId="527FEA80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4156F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Report from a Nongovernmental Organi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zation</w:t>
      </w:r>
    </w:p>
    <w:p w14:paraId="04C6EA24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Kenney, G. M., Cook, A., &amp; Pelletier, J. (2024).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Prospects for reducing uninsured rates among children: How much can premium assistance programs help? </w:t>
      </w:r>
      <w:r>
        <w:rPr>
          <w:rFonts w:ascii="Times New Roman" w:eastAsia="Times New Roman" w:hAnsi="Times New Roman" w:cs="Times New Roman"/>
          <w:sz w:val="24"/>
          <w:szCs w:val="24"/>
        </w:rPr>
        <w:t>Retrieved from Urban Institute website: http:// www.urban.org/url.cfm?ID=411823</w:t>
      </w:r>
    </w:p>
    <w:p w14:paraId="5E111E00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8C54F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Report wit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 No Author Identified and No Date</w:t>
      </w:r>
    </w:p>
    <w:p w14:paraId="38764356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GVU's 10th WWW user survey. </w:t>
      </w:r>
      <w:r>
        <w:rPr>
          <w:rFonts w:ascii="Times New Roman" w:eastAsia="Times New Roman" w:hAnsi="Times New Roman" w:cs="Times New Roman"/>
          <w:sz w:val="24"/>
          <w:szCs w:val="24"/>
        </w:rPr>
        <w:t>(n.d.). Retrieved from http://www.cc.gatech.edu/user_surveys/survey-1998-10/4</w:t>
      </w:r>
    </w:p>
    <w:p w14:paraId="2C0219B4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0D199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 CITATIONS IN TEXT</w:t>
      </w:r>
      <w:r>
        <w:rPr>
          <w:rFonts w:ascii="Times New Roman" w:eastAsia="Times New Roman" w:hAnsi="Times New Roman" w:cs="Times New Roman"/>
          <w:sz w:val="24"/>
          <w:szCs w:val="24"/>
        </w:rPr>
        <w:t>– APA utilizes a system of the brief referencing in the text of a paper, whether one is paraphrasing or providing a direct quotation from another author’s work. Citations in the text usually consist of the name of the author(s) and the year of publication.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page number is added when utilizing a direct quotation.</w:t>
      </w:r>
    </w:p>
    <w:p w14:paraId="1F95D82A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28738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Indirect Quotation with Parenthetical Citation</w:t>
      </w:r>
    </w:p>
    <w:p w14:paraId="5A5A3F84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Libraries historically highly value intellectual freedom and patron confidentiality (LaRue, 2024).</w:t>
      </w:r>
    </w:p>
    <w:p w14:paraId="5343926E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559E1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Indirect Quotation with Author as Part of the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arrative</w:t>
      </w:r>
    </w:p>
    <w:p w14:paraId="7F65F75C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LaRue (2024) identified intellectual freedom and patron confidentiality as two key values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held historically by libraries.</w:t>
      </w:r>
    </w:p>
    <w:p w14:paraId="05CF7079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A82BD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 Quotation with Parenthetical Citation</w:t>
      </w:r>
    </w:p>
    <w:p w14:paraId="4E1649A7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Darwin used the metaphor of the tree of life "to express the other form of int</w:t>
      </w:r>
      <w:r>
        <w:rPr>
          <w:rFonts w:ascii="Times New Roman" w:eastAsia="Times New Roman" w:hAnsi="Times New Roman" w:cs="Times New Roman"/>
          <w:sz w:val="24"/>
          <w:szCs w:val="24"/>
        </w:rPr>
        <w:t>erconnectedness–genealogical rather than ecological" (Gould &amp; Brown, 2024, p. 14).</w:t>
      </w:r>
    </w:p>
    <w:p w14:paraId="48145FF7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25E79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 Quotation with Author as Part of the Narrative</w:t>
      </w:r>
    </w:p>
    <w:p w14:paraId="65DF1654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Gould and Brown (2024) explained that Darwin used the metaphor of the tree of life "to express the other form of inter</w:t>
      </w:r>
      <w:r>
        <w:rPr>
          <w:rFonts w:ascii="Times New Roman" w:eastAsia="Times New Roman" w:hAnsi="Times New Roman" w:cs="Times New Roman"/>
          <w:sz w:val="24"/>
          <w:szCs w:val="24"/>
        </w:rPr>
        <w:t>connectedness– genealogical rather than ecological”(p. 14).</w:t>
      </w:r>
    </w:p>
    <w:p w14:paraId="3A689492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868C6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CITING SECONDARY SOURCES -- </w:t>
      </w:r>
      <w:r>
        <w:rPr>
          <w:rFonts w:ascii="Times New Roman" w:eastAsia="Times New Roman" w:hAnsi="Times New Roman" w:cs="Times New Roman"/>
          <w:sz w:val="24"/>
          <w:szCs w:val="24"/>
        </w:rPr>
        <w:t>When citing in the text a work discussed in a secondary source, give both the primary and the secondary sources. In the example below, the study by Seidenberg and McCl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elland was mentioned in an article by Coltheart, Curtis, Atkins, &amp; Haller. </w:t>
      </w:r>
    </w:p>
    <w:p w14:paraId="18785590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742C9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Seidenberg and McClelland’s study (as cited in Coltheart, Curtis, Atkins, &amp; Haller, 2024) provided a glimpse into the world.</w:t>
      </w:r>
    </w:p>
    <w:p w14:paraId="094A122F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83D88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references page, you would cite the secondary </w:t>
      </w:r>
      <w:r>
        <w:rPr>
          <w:rFonts w:ascii="Times New Roman" w:eastAsia="Times New Roman" w:hAnsi="Times New Roman" w:cs="Times New Roman"/>
          <w:sz w:val="24"/>
          <w:szCs w:val="24"/>
        </w:rPr>
        <w:t>source you read, not the original study.</w:t>
      </w:r>
    </w:p>
    <w:p w14:paraId="464D8DE8" w14:textId="77777777" w:rsidR="00BE1609" w:rsidRDefault="00BE160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9CEBB" w14:textId="77777777" w:rsidR="00BE1609" w:rsidRDefault="00634F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Coltheart, M., Curtis, B., Atkins, P., &amp; Haller, M. (2024). Models of reading aloud: Dual-route and parallel-distributed processing approaches.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Psychological Review, 100, </w:t>
      </w:r>
      <w:r>
        <w:rPr>
          <w:rFonts w:ascii="Times New Roman" w:eastAsia="Times New Roman" w:hAnsi="Times New Roman" w:cs="Times New Roman"/>
          <w:sz w:val="24"/>
          <w:szCs w:val="24"/>
        </w:rPr>
        <w:t>589-608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8CA06B" w14:textId="77777777" w:rsidR="00BE1609" w:rsidRDefault="00634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7F30375" w14:textId="77777777" w:rsidR="00BE1609" w:rsidRDefault="00BE1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E16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89E62" w14:textId="77777777" w:rsidR="00634F0B" w:rsidRDefault="00634F0B">
      <w:pPr>
        <w:spacing w:after="0" w:line="240" w:lineRule="auto"/>
      </w:pPr>
      <w:r>
        <w:separator/>
      </w:r>
    </w:p>
  </w:endnote>
  <w:endnote w:type="continuationSeparator" w:id="0">
    <w:p w14:paraId="6E664B21" w14:textId="77777777" w:rsidR="00634F0B" w:rsidRDefault="0063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06694" w14:textId="77777777" w:rsidR="00BE1609" w:rsidRDefault="00BE1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A2A3" w14:textId="77777777" w:rsidR="00BE1609" w:rsidRDefault="00634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6D6005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D600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FEB09D4" w14:textId="77777777" w:rsidR="00BE1609" w:rsidRDefault="00BE1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20BE" w14:textId="77777777" w:rsidR="00BE1609" w:rsidRDefault="00BE1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A853F" w14:textId="77777777" w:rsidR="00634F0B" w:rsidRDefault="00634F0B">
      <w:pPr>
        <w:spacing w:after="0" w:line="240" w:lineRule="auto"/>
      </w:pPr>
      <w:r>
        <w:separator/>
      </w:r>
    </w:p>
  </w:footnote>
  <w:footnote w:type="continuationSeparator" w:id="0">
    <w:p w14:paraId="763DCF80" w14:textId="77777777" w:rsidR="00634F0B" w:rsidRDefault="0063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FA97" w14:textId="77777777" w:rsidR="00BE1609" w:rsidRDefault="00BE1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B19E" w14:textId="77777777" w:rsidR="00BE1609" w:rsidRDefault="00634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12</w:t>
    </w:r>
    <w:r>
      <w:rPr>
        <w:rFonts w:ascii="Times New Roman" w:eastAsia="Times New Roman" w:hAnsi="Times New Roman" w:cs="Times New Roman"/>
        <w:i/>
        <w:color w:val="000000"/>
        <w:vertAlign w:val="superscript"/>
      </w:rPr>
      <w:t>th</w:t>
    </w:r>
    <w:r>
      <w:rPr>
        <w:rFonts w:ascii="Times New Roman" w:eastAsia="Times New Roman" w:hAnsi="Times New Roman" w:cs="Times New Roman"/>
        <w:i/>
        <w:color w:val="000000"/>
      </w:rPr>
      <w:t xml:space="preserve"> International Conference on Management and Muamalah 2025 (ICoMM 2025)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9CC2" w14:textId="77777777" w:rsidR="00BE1609" w:rsidRDefault="00BE1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7D3"/>
    <w:multiLevelType w:val="multilevel"/>
    <w:tmpl w:val="418025F0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18B6"/>
    <w:multiLevelType w:val="multilevel"/>
    <w:tmpl w:val="5F20AC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C766BFB"/>
    <w:multiLevelType w:val="multilevel"/>
    <w:tmpl w:val="728CE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09"/>
    <w:rsid w:val="00634F0B"/>
    <w:rsid w:val="006A73CA"/>
    <w:rsid w:val="006D6005"/>
    <w:rsid w:val="00B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CC19"/>
  <w15:docId w15:val="{5F9D9DE9-A3DA-45D7-844C-19F0E326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2025-05-02T03:42:00Z</dcterms:created>
  <dcterms:modified xsi:type="dcterms:W3CDTF">2025-05-02T03:42:00Z</dcterms:modified>
</cp:coreProperties>
</file>