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Workplace Experiences, Emotional Dissonance </w:t>
        <w:br w:type="textWrapping"/>
        <w:t xml:space="preserve">and Subsequent Intentions (TNR, 14, Bold, Center, Single Spacing, Capitalized Each Word)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Aaron Aziiz* (TNR, 11 Bold, Center, Capitalized Each Word)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of Creative Technology and Heritage (FTKW), Universiti Malaysia Kelantan (TNR, 11, Center, Capitalized Each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aaron@umk.edu.my (TNR, 11, Italic, Center)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Fattah Ameen, Fatimah Fuad (TNR, 11 Bold, Center, Capitalized Each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Kejuruteraan Mekanikal, Kolej Komuniti Kepala Batas (TNR, 11, Center, Capitalized Each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fattah@kkkba.edu.my, fatimah@gmail.com (TNR, 11, Italic, Center)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Remi Ishak, Saidah Ismail (TNR, 11 Bold, Center, Capitalized Each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of Multimedia Creative and Computing (FMKK), Selangor Islamic University (TNR, 11, Center, Capitalized Each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remi@uis.edu.my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saidah@gmail.com (TNR, 11, Italic, Center)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Abstract</w:t>
      </w:r>
    </w:p>
    <w:p w:rsidR="00000000" w:rsidDel="00000000" w:rsidP="00000000" w:rsidRDefault="00000000" w:rsidRPr="00000000" w14:paraId="00000010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(TNR, 11, Italic, Justify, Single Spacing)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sz w:val="22"/>
          <w:szCs w:val="22"/>
          <w:rtl w:val="0"/>
        </w:rPr>
        <w:t xml:space="preserve">The abstract should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not exceed 300 words</w:t>
      </w:r>
      <w:r w:rsidDel="00000000" w:rsidR="00000000" w:rsidRPr="00000000">
        <w:rPr>
          <w:i w:val="1"/>
          <w:sz w:val="22"/>
          <w:szCs w:val="22"/>
          <w:rtl w:val="0"/>
        </w:rPr>
        <w:t xml:space="preserve"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concisely summarize the purpose of the paper, the methods used, the major results, and conclusions. </w:t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hanging="1440"/>
        <w:rPr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Keywords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Min. 3 keywords, Max. 5 keywords.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(TNR, 11, Align Left, Single Spacing),</w:t>
      </w:r>
    </w:p>
    <w:p w:rsidR="00000000" w:rsidDel="00000000" w:rsidP="00000000" w:rsidRDefault="00000000" w:rsidRPr="00000000" w14:paraId="0000001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1. Introduction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(TNR, 11, Bold, Align Left, Capitalize Each Word)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Workplace especially on trainees has not been a common and emphasize special interests to managers ……... (TNR, 11, Single Spacing, Justify)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 Literature Review (TNR, 11, Bold, Align Left, Capitalize Each Word)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section discusses the literature review regarding …… (TNR, 11, Single Spacing, Justify)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Methodology (TNR, 11, Bold, Align Left, Capitalize Each Word)</w:t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3.1 Sampling (TNR, 11, Bold, Align Left, Capitalize Each Word)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section discusses …. (TNR, 11, Single Spacing, Justify)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Table 1: Label (TNR, 11, Single Spacing, Centre, Capitalize Each Word)</w:t>
      </w:r>
    </w:p>
    <w:p w:rsidR="00000000" w:rsidDel="00000000" w:rsidP="00000000" w:rsidRDefault="00000000" w:rsidRPr="00000000" w14:paraId="00000021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44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8"/>
        <w:gridCol w:w="1048"/>
        <w:gridCol w:w="1048"/>
        <w:tblGridChange w:id="0">
          <w:tblGrid>
            <w:gridCol w:w="1048"/>
            <w:gridCol w:w="1048"/>
            <w:gridCol w:w="10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Example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Example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Example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Example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Example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Example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Example</w:t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2417903" cy="1452752"/>
            <wp:effectExtent b="0" l="0" r="0" t="0"/>
            <wp:docPr descr="Image result for chart" id="1" name="image1.png"/>
            <a:graphic>
              <a:graphicData uri="http://schemas.openxmlformats.org/drawingml/2006/picture">
                <pic:pic>
                  <pic:nvPicPr>
                    <pic:cNvPr descr="Image result for char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7903" cy="1452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Figure 1: Label (TNR, 11, Single Spacing, Centre, Capitalize Each Word)</w:t>
      </w:r>
    </w:p>
    <w:p w:rsidR="00000000" w:rsidDel="00000000" w:rsidP="00000000" w:rsidRDefault="00000000" w:rsidRPr="00000000" w14:paraId="0000003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4. Conclusion and Future Recommendations (TNR, 11, Bold, Align Left, Capitalize Each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Although the findings showed significant influences of workplace but ….. (TNR, 11, Single Spacing, Justify)</w:t>
      </w:r>
    </w:p>
    <w:p w:rsidR="00000000" w:rsidDel="00000000" w:rsidP="00000000" w:rsidRDefault="00000000" w:rsidRPr="00000000" w14:paraId="0000003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Acknowledgement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(MANDATORY, TNR, 11, Bold Single Spacing)</w:t>
      </w:r>
    </w:p>
    <w:p w:rsidR="00000000" w:rsidDel="00000000" w:rsidP="00000000" w:rsidRDefault="00000000" w:rsidRPr="00000000" w14:paraId="0000003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paper is under scholarship …..</w:t>
      </w:r>
    </w:p>
    <w:p w:rsidR="00000000" w:rsidDel="00000000" w:rsidP="00000000" w:rsidRDefault="00000000" w:rsidRPr="00000000" w14:paraId="0000003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References (APA 7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 Edition, TNR, 11, Bold)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(TNR, 11, Single Spacing,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It is advisable to use a reference management software, or citation manager)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Ahmed, S. (2012). On being included: Racism and diversity in institutional life. Duke University Press. </w:t>
      </w:r>
    </w:p>
    <w:p w:rsidR="00000000" w:rsidDel="00000000" w:rsidP="00000000" w:rsidRDefault="00000000" w:rsidRPr="00000000" w14:paraId="0000003E">
      <w:pPr>
        <w:ind w:left="720" w:hanging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Soto, C. J., &amp; John, O. P. (2017). The next big five inventory (BFI-2): Developing and assessing a hierarchical model with 15 facets to enhance bandwidth, fidelity, and predictive power. </w:t>
      </w:r>
      <w:r w:rsidDel="00000000" w:rsidR="00000000" w:rsidRPr="00000000">
        <w:rPr>
          <w:i w:val="1"/>
          <w:sz w:val="22"/>
          <w:szCs w:val="22"/>
          <w:rtl w:val="0"/>
        </w:rPr>
        <w:t xml:space="preserve">Journal of Personality and Social Psychology</w:t>
      </w:r>
      <w:r w:rsidDel="00000000" w:rsidR="00000000" w:rsidRPr="00000000">
        <w:rPr>
          <w:sz w:val="22"/>
          <w:szCs w:val="22"/>
          <w:rtl w:val="0"/>
        </w:rPr>
        <w:t xml:space="preserve">, </w:t>
      </w:r>
      <w:r w:rsidDel="00000000" w:rsidR="00000000" w:rsidRPr="00000000">
        <w:rPr>
          <w:i w:val="1"/>
          <w:sz w:val="22"/>
          <w:szCs w:val="22"/>
          <w:rtl w:val="0"/>
        </w:rPr>
        <w:t xml:space="preserve">113</w:t>
      </w:r>
      <w:r w:rsidDel="00000000" w:rsidR="00000000" w:rsidRPr="00000000">
        <w:rPr>
          <w:sz w:val="22"/>
          <w:szCs w:val="22"/>
          <w:rtl w:val="0"/>
        </w:rPr>
        <w:t xml:space="preserve">(1), 117-143. </w:t>
      </w:r>
      <w:hyperlink r:id="rId7">
        <w:r w:rsidDel="00000000" w:rsidR="00000000" w:rsidRPr="00000000">
          <w:rPr>
            <w:color w:val="000000"/>
            <w:sz w:val="22"/>
            <w:szCs w:val="22"/>
            <w:u w:val="single"/>
            <w:rtl w:val="0"/>
          </w:rPr>
          <w:t xml:space="preserve">http://dx.doi.org/10.1037/pspp0000096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Nguyen, T., Carnevale, J. J., Scholer, A. A., Miele, D. B., &amp; Fujita, K. (2019). Metamotivational knowledge of the role of high-level and low-level construal in goal-relevant task performance. Journal of Personality and Social Psychology, 117(5), 879-899.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http://dx.doi.org/10.1037/pspa0000166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Merriam-Webster. (2008). Braggadocio. In Merriam-Webster’s Advanced Learner’s English Dictionary. Merriam-Webster.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ind w:left="567" w:hanging="567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 </w:t>
      </w:r>
      <w:r w:rsidDel="00000000" w:rsidR="00000000" w:rsidRPr="00000000">
        <w:rPr>
          <w:b w:val="1"/>
          <w:sz w:val="22"/>
          <w:szCs w:val="22"/>
          <w:rtl w:val="0"/>
        </w:rPr>
        <w:t xml:space="preserve">(MANDATORY - </w:t>
      </w:r>
      <w:r w:rsidDel="00000000" w:rsidR="00000000" w:rsidRPr="00000000">
        <w:rPr>
          <w:sz w:val="22"/>
          <w:szCs w:val="22"/>
          <w:rtl w:val="0"/>
        </w:rPr>
        <w:t xml:space="preserve">Minimum references is 15 (70% must be from published work</w:t>
      </w:r>
      <w:r w:rsidDel="00000000" w:rsidR="00000000" w:rsidRPr="00000000">
        <w:rPr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(MANDATORY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Use Normal Margin : Top (2.54cm), Bottom (2.54cm), Left (2.54cm), Right (2.54cm)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</w:t>
      </w:r>
      <w:r w:rsidDel="00000000" w:rsidR="00000000" w:rsidRPr="00000000">
        <w:rPr>
          <w:b w:val="1"/>
          <w:sz w:val="22"/>
          <w:szCs w:val="22"/>
          <w:rtl w:val="0"/>
        </w:rPr>
        <w:t xml:space="preserve"> (MANDATORY – </w:t>
      </w:r>
      <w:r w:rsidDel="00000000" w:rsidR="00000000" w:rsidRPr="00000000">
        <w:rPr>
          <w:sz w:val="22"/>
          <w:szCs w:val="22"/>
          <w:rtl w:val="0"/>
        </w:rPr>
        <w:t xml:space="preserve">Minimum Pages 6, Maximum Pages 15 &amp; Please do not include any page number)</w:t>
      </w:r>
    </w:p>
    <w:p w:rsidR="00000000" w:rsidDel="00000000" w:rsidP="00000000" w:rsidRDefault="00000000" w:rsidRPr="00000000" w14:paraId="00000048">
      <w:pPr>
        <w:rPr>
          <w:color w:val="333333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 </w:t>
      </w:r>
      <w:r w:rsidDel="00000000" w:rsidR="00000000" w:rsidRPr="00000000">
        <w:rPr>
          <w:b w:val="1"/>
          <w:sz w:val="22"/>
          <w:szCs w:val="22"/>
          <w:rtl w:val="0"/>
        </w:rPr>
        <w:t xml:space="preserve">(MANDATORY -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Affiliation and email for the authors are compulsory)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 </w:t>
      </w:r>
      <w:r w:rsidDel="00000000" w:rsidR="00000000" w:rsidRPr="00000000">
        <w:rPr>
          <w:b w:val="1"/>
          <w:sz w:val="22"/>
          <w:szCs w:val="22"/>
          <w:rtl w:val="0"/>
        </w:rPr>
        <w:t xml:space="preserve">(MANDATORY - </w:t>
      </w:r>
      <w:r w:rsidDel="00000000" w:rsidR="00000000" w:rsidRPr="00000000">
        <w:rPr>
          <w:sz w:val="22"/>
          <w:szCs w:val="22"/>
          <w:rtl w:val="0"/>
        </w:rPr>
        <w:t xml:space="preserve">* Please address which one is corresponding author by putting a star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216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Proceeding of ITREXC 2025 e-ISBN: xxx-xxxx-xx-x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International Innovation, Technology &amp; Research Exhibition and Conference 2025 (ITREXC 2025)</w:t>
      <w:br w:type="textWrapping"/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superscript"/>
        <w:rtl w:val="0"/>
      </w:rPr>
      <w:t xml:space="preserve">st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October 2025, Selangor Islamic University (UIS), MALAYSIA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jc w:val="center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240" w:before="2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240" w:before="240" w:lineRule="auto"/>
      <w:jc w:val="center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dx.doi.org/10.1037/pspp0000096" TargetMode="External"/><Relationship Id="rId8" Type="http://schemas.openxmlformats.org/officeDocument/2006/relationships/hyperlink" Target="http://dx.doi.org/10.1037/pspa0000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bf52bcb51689e17f94c584fad9ad97e6dd9789799fa721ce3397e94841e252b4</vt:lpwstr>
  </property>
</Properties>
</file>