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6" w:lineRule="auto"/>
        <w:jc w:val="center"/>
        <w:rPr>
          <w:b w:val="1"/>
        </w:rPr>
      </w:pPr>
      <w:r w:rsidDel="00000000" w:rsidR="00000000" w:rsidRPr="00000000">
        <w:rPr>
          <w:rFonts w:ascii="Times New Roman" w:cs="Times New Roman" w:eastAsia="Times New Roman" w:hAnsi="Times New Roman"/>
          <w:b w:val="1"/>
          <w:color w:val="ff0000"/>
          <w:rtl w:val="0"/>
        </w:rPr>
        <w:t xml:space="preserve">[Font: TNR, Capitalized Each Font, Center, Bold, 11] </w:t>
      </w:r>
      <w:r w:rsidDel="00000000" w:rsidR="00000000" w:rsidRPr="00000000">
        <w:rPr>
          <w:rFonts w:ascii="Times New Roman" w:cs="Times New Roman" w:eastAsia="Times New Roman" w:hAnsi="Times New Roman"/>
          <w:b w:val="1"/>
          <w:rtl w:val="0"/>
        </w:rPr>
        <w:t xml:space="preserve">WORKPLACE EXPERIENCES, EMOTIONAL DISSONANCE AND SUBSEQUENT INTENTIONS</w:t>
      </w:r>
      <w:r w:rsidDel="00000000" w:rsidR="00000000" w:rsidRPr="00000000">
        <w:rPr>
          <w:rtl w:val="0"/>
        </w:rPr>
      </w:r>
    </w:p>
    <w:p w:rsidR="00000000" w:rsidDel="00000000" w:rsidP="00000000" w:rsidRDefault="00000000" w:rsidRPr="00000000" w14:paraId="00000002">
      <w:pPr>
        <w:spacing w:after="0" w:line="240" w:lineRule="auto"/>
        <w:jc w:val="center"/>
        <w:rPr>
          <w:sz w:val="18"/>
          <w:szCs w:val="18"/>
        </w:rPr>
      </w:pPr>
      <w:r w:rsidDel="00000000" w:rsidR="00000000" w:rsidRPr="00000000">
        <w:rPr>
          <w:color w:val="ff0000"/>
          <w:sz w:val="18"/>
          <w:szCs w:val="18"/>
          <w:rtl w:val="0"/>
        </w:rPr>
        <w:t xml:space="preserve">[Font: TNR, Center, 9]</w:t>
      </w:r>
      <w:r w:rsidDel="00000000" w:rsidR="00000000" w:rsidRPr="00000000">
        <w:rPr>
          <w:color w:val="ff0000"/>
          <w:rtl w:val="0"/>
        </w:rPr>
        <w:t xml:space="preserve"> </w:t>
      </w:r>
      <w:r w:rsidDel="00000000" w:rsidR="00000000" w:rsidRPr="00000000">
        <w:rPr>
          <w:sz w:val="18"/>
          <w:szCs w:val="18"/>
          <w:vertAlign w:val="superscript"/>
          <w:rtl w:val="0"/>
        </w:rPr>
        <w:t xml:space="preserve">i*</w:t>
      </w:r>
      <w:r w:rsidDel="00000000" w:rsidR="00000000" w:rsidRPr="00000000">
        <w:rPr>
          <w:sz w:val="18"/>
          <w:szCs w:val="18"/>
          <w:rtl w:val="0"/>
        </w:rPr>
        <w:t xml:space="preserve">Aaron Aziiz, </w:t>
      </w:r>
      <w:r w:rsidDel="00000000" w:rsidR="00000000" w:rsidRPr="00000000">
        <w:rPr>
          <w:sz w:val="18"/>
          <w:szCs w:val="18"/>
          <w:vertAlign w:val="superscript"/>
          <w:rtl w:val="0"/>
        </w:rPr>
        <w:t xml:space="preserve">ii</w:t>
      </w:r>
      <w:r w:rsidDel="00000000" w:rsidR="00000000" w:rsidRPr="00000000">
        <w:rPr>
          <w:sz w:val="18"/>
          <w:szCs w:val="18"/>
          <w:rtl w:val="0"/>
        </w:rPr>
        <w:t xml:space="preserve">Fattah Ameen, &amp; </w:t>
      </w:r>
      <w:r w:rsidDel="00000000" w:rsidR="00000000" w:rsidRPr="00000000">
        <w:rPr>
          <w:sz w:val="18"/>
          <w:szCs w:val="18"/>
          <w:vertAlign w:val="superscript"/>
          <w:rtl w:val="0"/>
        </w:rPr>
        <w:t xml:space="preserve">iii </w:t>
      </w:r>
      <w:r w:rsidDel="00000000" w:rsidR="00000000" w:rsidRPr="00000000">
        <w:rPr>
          <w:sz w:val="18"/>
          <w:szCs w:val="18"/>
          <w:rtl w:val="0"/>
        </w:rPr>
        <w:t xml:space="preserve">Remi Ishak, </w:t>
      </w:r>
    </w:p>
    <w:p w:rsidR="00000000" w:rsidDel="00000000" w:rsidP="00000000" w:rsidRDefault="00000000" w:rsidRPr="00000000" w14:paraId="00000003">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04">
      <w:pPr>
        <w:spacing w:after="0" w:line="240" w:lineRule="auto"/>
        <w:jc w:val="center"/>
        <w:rPr>
          <w:sz w:val="18"/>
          <w:szCs w:val="18"/>
        </w:rPr>
      </w:pPr>
      <w:bookmarkStart w:colFirst="0" w:colLast="0" w:name="_2pi5ifpvqlug" w:id="0"/>
      <w:bookmarkEnd w:id="0"/>
      <w:r w:rsidDel="00000000" w:rsidR="00000000" w:rsidRPr="00000000">
        <w:rPr>
          <w:color w:val="ff0000"/>
          <w:sz w:val="18"/>
          <w:szCs w:val="18"/>
          <w:rtl w:val="0"/>
        </w:rPr>
        <w:t xml:space="preserve">[Font: TNR, Center, 9]</w:t>
      </w:r>
      <w:r w:rsidDel="00000000" w:rsidR="00000000" w:rsidRPr="00000000">
        <w:rPr>
          <w:color w:val="ff0000"/>
          <w:rtl w:val="0"/>
        </w:rPr>
        <w:t xml:space="preserve"> </w:t>
      </w:r>
      <w:r w:rsidDel="00000000" w:rsidR="00000000" w:rsidRPr="00000000">
        <w:rPr>
          <w:sz w:val="18"/>
          <w:szCs w:val="18"/>
          <w:rtl w:val="0"/>
        </w:rPr>
        <w:t xml:space="preserve">Faculty of Creative Multimedia and Computing, Universiti Islam Selangor, Malaysia</w:t>
      </w:r>
    </w:p>
    <w:p w:rsidR="00000000" w:rsidDel="00000000" w:rsidP="00000000" w:rsidRDefault="00000000" w:rsidRPr="00000000" w14:paraId="00000005">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06">
      <w:pPr>
        <w:spacing w:after="0" w:line="240" w:lineRule="auto"/>
        <w:jc w:val="center"/>
        <w:rPr>
          <w:color w:val="000000"/>
          <w:sz w:val="18"/>
          <w:szCs w:val="18"/>
        </w:rPr>
      </w:pPr>
      <w:r w:rsidDel="00000000" w:rsidR="00000000" w:rsidRPr="00000000">
        <w:rPr>
          <w:color w:val="ff0000"/>
          <w:sz w:val="18"/>
          <w:szCs w:val="18"/>
          <w:rtl w:val="0"/>
        </w:rPr>
        <w:t xml:space="preserve">[Font: TNR, Center, 9]</w:t>
      </w:r>
      <w:r w:rsidDel="00000000" w:rsidR="00000000" w:rsidRPr="00000000">
        <w:rPr>
          <w:color w:val="ff0000"/>
          <w:rtl w:val="0"/>
        </w:rPr>
        <w:t xml:space="preserve"> </w:t>
      </w:r>
      <w:r w:rsidDel="00000000" w:rsidR="00000000" w:rsidRPr="00000000">
        <w:rPr>
          <w:sz w:val="18"/>
          <w:szCs w:val="18"/>
          <w:rtl w:val="0"/>
        </w:rPr>
        <w:t xml:space="preserve">*(Corresponding author) e-mail: </w:t>
      </w:r>
      <w:hyperlink r:id="rId6">
        <w:r w:rsidDel="00000000" w:rsidR="00000000" w:rsidRPr="00000000">
          <w:rPr>
            <w:color w:val="0563c1"/>
            <w:sz w:val="18"/>
            <w:szCs w:val="18"/>
            <w:u w:val="single"/>
            <w:rtl w:val="0"/>
          </w:rPr>
          <w:t xml:space="preserve">aaron@uis.edu.my</w:t>
        </w:r>
      </w:hyperlink>
      <w:r w:rsidDel="00000000" w:rsidR="00000000" w:rsidRPr="00000000">
        <w:rPr>
          <w:color w:val="000000"/>
          <w:sz w:val="18"/>
          <w:szCs w:val="18"/>
          <w:u w:val="single"/>
          <w:rtl w:val="0"/>
        </w:rPr>
        <w:t xml:space="preserve"> </w:t>
      </w:r>
      <w:r w:rsidDel="00000000" w:rsidR="00000000" w:rsidRPr="00000000">
        <w:rPr>
          <w:rtl w:val="0"/>
        </w:rPr>
      </w:r>
    </w:p>
    <w:p w:rsidR="00000000" w:rsidDel="00000000" w:rsidP="00000000" w:rsidRDefault="00000000" w:rsidRPr="00000000" w14:paraId="00000007">
      <w:pPr>
        <w:spacing w:after="0" w:line="240" w:lineRule="auto"/>
        <w:jc w:val="center"/>
        <w:rPr>
          <w:b w:val="1"/>
          <w:color w:val="ff0000"/>
        </w:rPr>
      </w:pPr>
      <w:r w:rsidDel="00000000" w:rsidR="00000000" w:rsidRPr="00000000">
        <w:rPr>
          <w:rtl w:val="0"/>
        </w:rPr>
      </w:r>
    </w:p>
    <w:tbl>
      <w:tblPr>
        <w:tblStyle w:val="Table1"/>
        <w:tblW w:w="9304.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07"/>
        <w:gridCol w:w="97"/>
        <w:tblGridChange w:id="0">
          <w:tblGrid>
            <w:gridCol w:w="9207"/>
            <w:gridCol w:w="97"/>
          </w:tblGrid>
        </w:tblGridChange>
      </w:tblGrid>
      <w:tr>
        <w:trPr>
          <w:cantSplit w:val="0"/>
          <w:trHeight w:val="6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bl>
            <w:tblPr>
              <w:tblStyle w:val="Table2"/>
              <w:tblW w:w="92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6374"/>
              <w:tblGridChange w:id="0">
                <w:tblGrid>
                  <w:gridCol w:w="2835"/>
                  <w:gridCol w:w="6374"/>
                </w:tblGrid>
              </w:tblGridChange>
            </w:tblGrid>
            <w:tr>
              <w:trPr>
                <w:cantSplit w:val="0"/>
                <w:trHeight w:val="277" w:hRule="atLeast"/>
                <w:tblHeader w:val="0"/>
              </w:trPr>
              <w:tc>
                <w:tcPr>
                  <w:vMerge w:val="restart"/>
                  <w:vAlign w:val="center"/>
                </w:tcPr>
                <w:p w:rsidR="00000000" w:rsidDel="00000000" w:rsidP="00000000" w:rsidRDefault="00000000" w:rsidRPr="00000000" w14:paraId="00000009">
                  <w:pPr>
                    <w:rPr>
                      <w:rFonts w:ascii="Times New Roman" w:cs="Times New Roman" w:eastAsia="Times New Roman" w:hAnsi="Times New Roman"/>
                      <w:b w:val="1"/>
                      <w:i w:val="1"/>
                      <w:sz w:val="13"/>
                      <w:szCs w:val="13"/>
                    </w:rPr>
                  </w:pPr>
                  <w:bookmarkStart w:colFirst="0" w:colLast="0" w:name="_6m2ilicxqkdd" w:id="1"/>
                  <w:bookmarkEnd w:id="1"/>
                  <w:r w:rsidDel="00000000" w:rsidR="00000000" w:rsidRPr="00000000">
                    <w:rPr>
                      <w:rFonts w:ascii="Times New Roman" w:cs="Times New Roman" w:eastAsia="Times New Roman" w:hAnsi="Times New Roman"/>
                      <w:b w:val="1"/>
                      <w:i w:val="1"/>
                      <w:sz w:val="13"/>
                      <w:szCs w:val="13"/>
                      <w:rtl w:val="0"/>
                    </w:rPr>
                    <w:t xml:space="preserve">Article history </w:t>
                  </w:r>
                  <w:r w:rsidDel="00000000" w:rsidR="00000000" w:rsidRPr="00000000">
                    <w:rPr>
                      <w:rFonts w:ascii="Times New Roman" w:cs="Times New Roman" w:eastAsia="Times New Roman" w:hAnsi="Times New Roman"/>
                      <w:b w:val="1"/>
                      <w:i w:val="1"/>
                      <w:color w:val="ff0000"/>
                      <w:sz w:val="13"/>
                      <w:szCs w:val="13"/>
                      <w:rtl w:val="0"/>
                    </w:rPr>
                    <w:t xml:space="preserve">(leave this part):</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color w:val="000000"/>
                      <w:sz w:val="13"/>
                      <w:szCs w:val="13"/>
                    </w:rPr>
                  </w:pPr>
                  <w:r w:rsidDel="00000000" w:rsidR="00000000" w:rsidRPr="00000000">
                    <w:rPr>
                      <w:rFonts w:ascii="Times New Roman" w:cs="Times New Roman" w:eastAsia="Times New Roman" w:hAnsi="Times New Roman"/>
                      <w:color w:val="000000"/>
                      <w:sz w:val="13"/>
                      <w:szCs w:val="13"/>
                      <w:rtl w:val="0"/>
                    </w:rPr>
                    <w:t xml:space="preserve">Submission date: 15 Dec 2024</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sz w:val="13"/>
                      <w:szCs w:val="13"/>
                    </w:rPr>
                  </w:pPr>
                  <w:r w:rsidDel="00000000" w:rsidR="00000000" w:rsidRPr="00000000">
                    <w:rPr>
                      <w:rFonts w:ascii="Times New Roman" w:cs="Times New Roman" w:eastAsia="Times New Roman" w:hAnsi="Times New Roman"/>
                      <w:color w:val="000000"/>
                      <w:sz w:val="13"/>
                      <w:szCs w:val="13"/>
                      <w:rtl w:val="0"/>
                    </w:rPr>
                    <w:t xml:space="preserve">Received in revised form:  16 Feb 2025</w:t>
                  </w:r>
                </w:p>
                <w:p w:rsidR="00000000" w:rsidDel="00000000" w:rsidP="00000000" w:rsidRDefault="00000000" w:rsidRPr="00000000" w14:paraId="0000000C">
                  <w:pPr>
                    <w:rPr>
                      <w:rFonts w:ascii="Times New Roman" w:cs="Times New Roman" w:eastAsia="Times New Roman" w:hAnsi="Times New Roman"/>
                      <w:color w:val="000000"/>
                      <w:sz w:val="13"/>
                      <w:szCs w:val="13"/>
                    </w:rPr>
                  </w:pPr>
                  <w:r w:rsidDel="00000000" w:rsidR="00000000" w:rsidRPr="00000000">
                    <w:rPr>
                      <w:rFonts w:ascii="Times New Roman" w:cs="Times New Roman" w:eastAsia="Times New Roman" w:hAnsi="Times New Roman"/>
                      <w:color w:val="000000"/>
                      <w:sz w:val="13"/>
                      <w:szCs w:val="13"/>
                      <w:rtl w:val="0"/>
                    </w:rPr>
                    <w:t xml:space="preserve">Acceptance date: 17 March 2025</w:t>
                  </w:r>
                </w:p>
                <w:p w:rsidR="00000000" w:rsidDel="00000000" w:rsidP="00000000" w:rsidRDefault="00000000" w:rsidRPr="00000000" w14:paraId="0000000D">
                  <w:pPr>
                    <w:rPr>
                      <w:rFonts w:ascii="Times New Roman" w:cs="Times New Roman" w:eastAsia="Times New Roman" w:hAnsi="Times New Roman"/>
                      <w:color w:val="000000"/>
                      <w:sz w:val="13"/>
                      <w:szCs w:val="13"/>
                    </w:rPr>
                  </w:pPr>
                  <w:r w:rsidDel="00000000" w:rsidR="00000000" w:rsidRPr="00000000">
                    <w:rPr>
                      <w:rFonts w:ascii="Times New Roman" w:cs="Times New Roman" w:eastAsia="Times New Roman" w:hAnsi="Times New Roman"/>
                      <w:color w:val="000000"/>
                      <w:sz w:val="13"/>
                      <w:szCs w:val="13"/>
                      <w:rtl w:val="0"/>
                    </w:rPr>
                    <w:t xml:space="preserve">Available online: 1 June 2025</w:t>
                  </w:r>
                </w:p>
                <w:p w:rsidR="00000000" w:rsidDel="00000000" w:rsidP="00000000" w:rsidRDefault="00000000" w:rsidRPr="00000000" w14:paraId="0000000E">
                  <w:pPr>
                    <w:rPr>
                      <w:rFonts w:ascii="Times New Roman" w:cs="Times New Roman" w:eastAsia="Times New Roman" w:hAnsi="Times New Roman"/>
                      <w:i w:val="1"/>
                      <w:sz w:val="13"/>
                      <w:szCs w:val="13"/>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i w:val="1"/>
                      <w:sz w:val="13"/>
                      <w:szCs w:val="13"/>
                    </w:rPr>
                  </w:pPr>
                  <w:r w:rsidDel="00000000" w:rsidR="00000000" w:rsidRPr="00000000">
                    <w:rPr>
                      <w:rFonts w:ascii="Times New Roman" w:cs="Times New Roman" w:eastAsia="Times New Roman" w:hAnsi="Times New Roman"/>
                      <w:b w:val="1"/>
                      <w:i w:val="1"/>
                      <w:sz w:val="13"/>
                      <w:szCs w:val="13"/>
                      <w:rtl w:val="0"/>
                    </w:rPr>
                    <w:t xml:space="preserve">Keywords:</w:t>
                  </w:r>
                </w:p>
                <w:p w:rsidR="00000000" w:rsidDel="00000000" w:rsidP="00000000" w:rsidRDefault="00000000" w:rsidRPr="00000000" w14:paraId="00000010">
                  <w:pPr>
                    <w:rPr>
                      <w:rFonts w:ascii="Times New Roman" w:cs="Times New Roman" w:eastAsia="Times New Roman" w:hAnsi="Times New Roman"/>
                      <w:color w:val="ff0000"/>
                      <w:sz w:val="13"/>
                      <w:szCs w:val="13"/>
                    </w:rPr>
                  </w:pPr>
                  <w:r w:rsidDel="00000000" w:rsidR="00000000" w:rsidRPr="00000000">
                    <w:rPr>
                      <w:rFonts w:ascii="Times New Roman" w:cs="Times New Roman" w:eastAsia="Times New Roman" w:hAnsi="Times New Roman"/>
                      <w:color w:val="ff0000"/>
                      <w:sz w:val="13"/>
                      <w:szCs w:val="13"/>
                      <w:rtl w:val="0"/>
                    </w:rPr>
                    <w:t xml:space="preserve">Keyword1, Keyword2, Keyword3, Keyword 4, Keyword5 </w:t>
                  </w:r>
                  <w:r w:rsidDel="00000000" w:rsidR="00000000" w:rsidRPr="00000000">
                    <w:rPr>
                      <w:rFonts w:ascii="Times New Roman" w:cs="Times New Roman" w:eastAsia="Times New Roman" w:hAnsi="Times New Roman"/>
                      <w:b w:val="1"/>
                      <w:color w:val="ff0000"/>
                      <w:sz w:val="13"/>
                      <w:szCs w:val="13"/>
                      <w:rtl w:val="0"/>
                    </w:rPr>
                    <w:t xml:space="preserve">(Five Keywords)</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i w:val="1"/>
                      <w:sz w:val="13"/>
                      <w:szCs w:val="13"/>
                    </w:rPr>
                  </w:pPr>
                  <w:r w:rsidDel="00000000" w:rsidR="00000000" w:rsidRPr="00000000">
                    <w:rPr>
                      <w:rFonts w:ascii="Times New Roman" w:cs="Times New Roman" w:eastAsia="Times New Roman" w:hAnsi="Times New Roman"/>
                      <w:b w:val="1"/>
                      <w:i w:val="1"/>
                      <w:sz w:val="13"/>
                      <w:szCs w:val="13"/>
                      <w:rtl w:val="0"/>
                    </w:rPr>
                    <w:t xml:space="preserve">Funding:</w:t>
                  </w:r>
                </w:p>
                <w:p w:rsidR="00000000" w:rsidDel="00000000" w:rsidP="00000000" w:rsidRDefault="00000000" w:rsidRPr="00000000" w14:paraId="00000013">
                  <w:pPr>
                    <w:spacing w:line="256" w:lineRule="auto"/>
                    <w:rPr>
                      <w:rFonts w:ascii="Times New Roman" w:cs="Times New Roman" w:eastAsia="Times New Roman" w:hAnsi="Times New Roman"/>
                      <w:color w:val="ff0000"/>
                      <w:sz w:val="13"/>
                      <w:szCs w:val="13"/>
                    </w:rPr>
                  </w:pPr>
                  <w:r w:rsidDel="00000000" w:rsidR="00000000" w:rsidRPr="00000000">
                    <w:rPr>
                      <w:rFonts w:ascii="Times New Roman" w:cs="Times New Roman" w:eastAsia="Times New Roman" w:hAnsi="Times New Roman"/>
                      <w:color w:val="ff0000"/>
                      <w:sz w:val="13"/>
                      <w:szCs w:val="13"/>
                      <w:rtl w:val="0"/>
                    </w:rPr>
                    <w:t xml:space="preserve">This research received no specific grant from any funding agency in the public, commercial, or not-for-profit sectors.</w:t>
                  </w:r>
                </w:p>
                <w:p w:rsidR="00000000" w:rsidDel="00000000" w:rsidP="00000000" w:rsidRDefault="00000000" w:rsidRPr="00000000" w14:paraId="00000014">
                  <w:pPr>
                    <w:rPr>
                      <w:rFonts w:ascii="Times New Roman" w:cs="Times New Roman" w:eastAsia="Times New Roman" w:hAnsi="Times New Roman"/>
                      <w:i w:val="1"/>
                      <w:sz w:val="13"/>
                      <w:szCs w:val="13"/>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i w:val="1"/>
                      <w:sz w:val="13"/>
                      <w:szCs w:val="13"/>
                    </w:rPr>
                  </w:pPr>
                  <w:r w:rsidDel="00000000" w:rsidR="00000000" w:rsidRPr="00000000">
                    <w:rPr>
                      <w:rFonts w:ascii="Times New Roman" w:cs="Times New Roman" w:eastAsia="Times New Roman" w:hAnsi="Times New Roman"/>
                      <w:b w:val="1"/>
                      <w:i w:val="1"/>
                      <w:sz w:val="13"/>
                      <w:szCs w:val="13"/>
                      <w:rtl w:val="0"/>
                    </w:rPr>
                    <w:t xml:space="preserve">Competing interest:</w:t>
                  </w:r>
                </w:p>
                <w:p w:rsidR="00000000" w:rsidDel="00000000" w:rsidP="00000000" w:rsidRDefault="00000000" w:rsidRPr="00000000" w14:paraId="00000016">
                  <w:pPr>
                    <w:rPr>
                      <w:rFonts w:ascii="Times New Roman" w:cs="Times New Roman" w:eastAsia="Times New Roman" w:hAnsi="Times New Roman"/>
                      <w:color w:val="ff0000"/>
                      <w:sz w:val="13"/>
                      <w:szCs w:val="13"/>
                    </w:rPr>
                  </w:pPr>
                  <w:r w:rsidDel="00000000" w:rsidR="00000000" w:rsidRPr="00000000">
                    <w:rPr>
                      <w:rFonts w:ascii="Times New Roman" w:cs="Times New Roman" w:eastAsia="Times New Roman" w:hAnsi="Times New Roman"/>
                      <w:color w:val="ff0000"/>
                      <w:sz w:val="13"/>
                      <w:szCs w:val="13"/>
                      <w:rtl w:val="0"/>
                    </w:rPr>
                    <w:t xml:space="preserve">The author(s) have declared that no competing interests exist.</w:t>
                  </w:r>
                </w:p>
                <w:p w:rsidR="00000000" w:rsidDel="00000000" w:rsidP="00000000" w:rsidRDefault="00000000" w:rsidRPr="00000000" w14:paraId="00000017">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i w:val="1"/>
                      <w:color w:val="ff0000"/>
                      <w:sz w:val="13"/>
                      <w:szCs w:val="13"/>
                    </w:rPr>
                  </w:pPr>
                  <w:r w:rsidDel="00000000" w:rsidR="00000000" w:rsidRPr="00000000">
                    <w:rPr>
                      <w:rFonts w:ascii="Times New Roman" w:cs="Times New Roman" w:eastAsia="Times New Roman" w:hAnsi="Times New Roman"/>
                      <w:b w:val="1"/>
                      <w:i w:val="1"/>
                      <w:sz w:val="13"/>
                      <w:szCs w:val="13"/>
                      <w:rtl w:val="0"/>
                    </w:rPr>
                    <w:t xml:space="preserve">Cite as</w:t>
                  </w:r>
                  <w:r w:rsidDel="00000000" w:rsidR="00000000" w:rsidRPr="00000000">
                    <w:rPr>
                      <w:rFonts w:ascii="Times New Roman" w:cs="Times New Roman" w:eastAsia="Times New Roman" w:hAnsi="Times New Roman"/>
                      <w:b w:val="1"/>
                      <w:i w:val="1"/>
                      <w:color w:val="ff0000"/>
                      <w:rtl w:val="0"/>
                    </w:rPr>
                    <w:t xml:space="preserve"> </w:t>
                  </w:r>
                  <w:r w:rsidDel="00000000" w:rsidR="00000000" w:rsidRPr="00000000">
                    <w:rPr>
                      <w:rFonts w:ascii="Times New Roman" w:cs="Times New Roman" w:eastAsia="Times New Roman" w:hAnsi="Times New Roman"/>
                      <w:b w:val="1"/>
                      <w:i w:val="1"/>
                      <w:color w:val="ff0000"/>
                      <w:sz w:val="13"/>
                      <w:szCs w:val="13"/>
                      <w:rtl w:val="0"/>
                    </w:rPr>
                    <w:t xml:space="preserve">(leave this part):</w:t>
                  </w:r>
                </w:p>
                <w:p w:rsidR="00000000" w:rsidDel="00000000" w:rsidP="00000000" w:rsidRDefault="00000000" w:rsidRPr="00000000" w14:paraId="00000019">
                  <w:pPr>
                    <w:rPr>
                      <w:rFonts w:ascii="Times New Roman" w:cs="Times New Roman" w:eastAsia="Times New Roman" w:hAnsi="Times New Roman"/>
                      <w:color w:val="000000"/>
                      <w:sz w:val="13"/>
                      <w:szCs w:val="13"/>
                    </w:rPr>
                  </w:pPr>
                  <w:r w:rsidDel="00000000" w:rsidR="00000000" w:rsidRPr="00000000">
                    <w:rPr>
                      <w:rFonts w:ascii="Times New Roman" w:cs="Times New Roman" w:eastAsia="Times New Roman" w:hAnsi="Times New Roman"/>
                      <w:color w:val="000000"/>
                      <w:sz w:val="13"/>
                      <w:szCs w:val="13"/>
                      <w:rtl w:val="0"/>
                    </w:rPr>
                    <w:t xml:space="preserve">Author1, N., &amp; Author2, R. (2025).</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13"/>
                      <w:szCs w:val="13"/>
                      <w:rtl w:val="0"/>
                    </w:rPr>
                    <w:t xml:space="preserve">Title. </w:t>
                  </w:r>
                  <w:r w:rsidDel="00000000" w:rsidR="00000000" w:rsidRPr="00000000">
                    <w:rPr>
                      <w:rFonts w:ascii="Times New Roman" w:cs="Times New Roman" w:eastAsia="Times New Roman" w:hAnsi="Times New Roman"/>
                      <w:i w:val="1"/>
                      <w:color w:val="000000"/>
                      <w:sz w:val="13"/>
                      <w:szCs w:val="13"/>
                      <w:rtl w:val="0"/>
                    </w:rPr>
                    <w:t xml:space="preserve">Malaysian Journal of Information and Communication Technolog</w:t>
                  </w:r>
                  <w:r w:rsidDel="00000000" w:rsidR="00000000" w:rsidRPr="00000000">
                    <w:rPr>
                      <w:rFonts w:ascii="Times New Roman" w:cs="Times New Roman" w:eastAsia="Times New Roman" w:hAnsi="Times New Roman"/>
                      <w:color w:val="000000"/>
                      <w:sz w:val="13"/>
                      <w:szCs w:val="13"/>
                      <w:rtl w:val="0"/>
                    </w:rPr>
                    <w:t xml:space="preserve">, </w:t>
                  </w:r>
                  <w:r w:rsidDel="00000000" w:rsidR="00000000" w:rsidRPr="00000000">
                    <w:rPr>
                      <w:rFonts w:ascii="Times New Roman" w:cs="Times New Roman" w:eastAsia="Times New Roman" w:hAnsi="Times New Roman"/>
                      <w:i w:val="1"/>
                      <w:color w:val="000000"/>
                      <w:sz w:val="13"/>
                      <w:szCs w:val="13"/>
                      <w:rtl w:val="0"/>
                    </w:rPr>
                    <w:t xml:space="preserve">10</w:t>
                  </w:r>
                  <w:r w:rsidDel="00000000" w:rsidR="00000000" w:rsidRPr="00000000">
                    <w:rPr>
                      <w:rFonts w:ascii="Times New Roman" w:cs="Times New Roman" w:eastAsia="Times New Roman" w:hAnsi="Times New Roman"/>
                      <w:color w:val="000000"/>
                      <w:sz w:val="13"/>
                      <w:szCs w:val="13"/>
                      <w:rtl w:val="0"/>
                    </w:rPr>
                    <w:t xml:space="preserve">(1), X-X. </w:t>
                  </w:r>
                  <w:hyperlink r:id="rId7">
                    <w:r w:rsidDel="00000000" w:rsidR="00000000" w:rsidRPr="00000000">
                      <w:rPr>
                        <w:rFonts w:ascii="Times New Roman" w:cs="Times New Roman" w:eastAsia="Times New Roman" w:hAnsi="Times New Roman"/>
                        <w:color w:val="0563c1"/>
                        <w:sz w:val="13"/>
                        <w:szCs w:val="13"/>
                        <w:u w:val="single"/>
                        <w:rtl w:val="0"/>
                      </w:rPr>
                      <w:t xml:space="preserve">https://doi.org/10.33102/myjict.vol10no1.xx</w:t>
                    </w:r>
                  </w:hyperlink>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i w:val="1"/>
                      <w:sz w:val="13"/>
                      <w:szCs w:val="13"/>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851924" cy="303639"/>
                        <wp:effectExtent b="0" l="0" r="0" t="0"/>
                        <wp:docPr descr="Creative Commons License" id="3" name="image2.png"/>
                        <a:graphic>
                          <a:graphicData uri="http://schemas.openxmlformats.org/drawingml/2006/picture">
                            <pic:pic>
                              <pic:nvPicPr>
                                <pic:cNvPr descr="Creative Commons License" id="0" name="image2.png"/>
                                <pic:cNvPicPr preferRelativeResize="0"/>
                              </pic:nvPicPr>
                              <pic:blipFill>
                                <a:blip r:embed="rId8"/>
                                <a:srcRect b="0" l="0" r="0" t="0"/>
                                <a:stretch>
                                  <a:fillRect/>
                                </a:stretch>
                              </pic:blipFill>
                              <pic:spPr>
                                <a:xfrm>
                                  <a:off x="0" y="0"/>
                                  <a:ext cx="851924" cy="303639"/>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sz w:val="13"/>
                      <w:szCs w:val="13"/>
                      <w:rtl w:val="0"/>
                    </w:rPr>
                    <w:t xml:space="preserve">© The authors (2025). This is an Open Access article distributed under the terms of the Creative Commons Attribution (CC BY NC) (</w:t>
                  </w:r>
                  <w:hyperlink r:id="rId9">
                    <w:r w:rsidDel="00000000" w:rsidR="00000000" w:rsidRPr="00000000">
                      <w:rPr>
                        <w:rFonts w:ascii="Times New Roman" w:cs="Times New Roman" w:eastAsia="Times New Roman" w:hAnsi="Times New Roman"/>
                        <w:color w:val="0563c1"/>
                        <w:sz w:val="13"/>
                        <w:szCs w:val="13"/>
                        <w:u w:val="single"/>
                        <w:rtl w:val="0"/>
                      </w:rPr>
                      <w:t xml:space="preserve">http://creativecommons.org/licenses/by-nc/4.0/</w:t>
                    </w:r>
                  </w:hyperlink>
                  <w:r w:rsidDel="00000000" w:rsidR="00000000" w:rsidRPr="00000000">
                    <w:rPr>
                      <w:rFonts w:ascii="Times New Roman" w:cs="Times New Roman" w:eastAsia="Times New Roman" w:hAnsi="Times New Roman"/>
                      <w:sz w:val="13"/>
                      <w:szCs w:val="13"/>
                      <w:rtl w:val="0"/>
                    </w:rPr>
                    <w:t xml:space="preserve">), which permits non-commercial re-use, distribution, and  reproduction in any medium, provided the original work is properly cited. For commercial re-use, please contact </w:t>
                  </w:r>
                  <w:hyperlink r:id="rId10">
                    <w:r w:rsidDel="00000000" w:rsidR="00000000" w:rsidRPr="00000000">
                      <w:rPr>
                        <w:rFonts w:ascii="Times New Roman" w:cs="Times New Roman" w:eastAsia="Times New Roman" w:hAnsi="Times New Roman"/>
                        <w:color w:val="0563c1"/>
                        <w:sz w:val="13"/>
                        <w:szCs w:val="13"/>
                        <w:u w:val="single"/>
                        <w:rtl w:val="0"/>
                      </w:rPr>
                      <w:t xml:space="preserve">myjict@uis.edu.my</w:t>
                    </w:r>
                  </w:hyperlink>
                  <w:r w:rsidDel="00000000" w:rsidR="00000000" w:rsidRPr="00000000">
                    <w:rPr>
                      <w:rFonts w:ascii="Times New Roman" w:cs="Times New Roman" w:eastAsia="Times New Roman" w:hAnsi="Times New Roman"/>
                      <w:sz w:val="13"/>
                      <w:szCs w:val="13"/>
                      <w:rtl w:val="0"/>
                    </w:rPr>
                    <w:t xml:space="preserve">.</w:t>
                  </w:r>
                </w:p>
                <w:p w:rsidR="00000000" w:rsidDel="00000000" w:rsidP="00000000" w:rsidRDefault="00000000" w:rsidRPr="00000000" w14:paraId="0000001F">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13"/>
                      <w:szCs w:val="13"/>
                    </w:rPr>
                  </w:pPr>
                  <w:r w:rsidDel="00000000" w:rsidR="00000000" w:rsidRPr="00000000">
                    <w:rPr>
                      <w:rtl w:val="0"/>
                    </w:rPr>
                  </w:r>
                </w:p>
              </w:tc>
              <w:tc>
                <w:tcPr/>
                <w:p w:rsidR="00000000" w:rsidDel="00000000" w:rsidP="00000000" w:rsidRDefault="00000000" w:rsidRPr="00000000" w14:paraId="0000002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ff0000"/>
                      <w:rtl w:val="0"/>
                    </w:rPr>
                    <w:t xml:space="preserve">[Font: TNR, Capital, Center,</w:t>
                  </w:r>
                  <w:r w:rsidDel="00000000" w:rsidR="00000000" w:rsidRPr="00000000">
                    <w:rPr>
                      <w:b w:val="1"/>
                      <w:color w:val="ff0000"/>
                      <w:rtl w:val="0"/>
                    </w:rPr>
                    <w:t xml:space="preserve"> </w:t>
                  </w:r>
                  <w:r w:rsidDel="00000000" w:rsidR="00000000" w:rsidRPr="00000000">
                    <w:rPr>
                      <w:rFonts w:ascii="Times New Roman" w:cs="Times New Roman" w:eastAsia="Times New Roman" w:hAnsi="Times New Roman"/>
                      <w:b w:val="1"/>
                      <w:color w:val="ff0000"/>
                      <w:rtl w:val="0"/>
                    </w:rPr>
                    <w:t xml:space="preserve">Bold, 11] </w:t>
                  </w:r>
                  <w:r w:rsidDel="00000000" w:rsidR="00000000" w:rsidRPr="00000000">
                    <w:rPr>
                      <w:rFonts w:ascii="Times New Roman" w:cs="Times New Roman" w:eastAsia="Times New Roman" w:hAnsi="Times New Roman"/>
                      <w:b w:val="1"/>
                      <w:rtl w:val="0"/>
                    </w:rPr>
                    <w:t xml:space="preserve">ABSTRACT</w:t>
                  </w:r>
                  <w:r w:rsidDel="00000000" w:rsidR="00000000" w:rsidRPr="00000000">
                    <w:rPr>
                      <w:rtl w:val="0"/>
                    </w:rPr>
                  </w:r>
                </w:p>
              </w:tc>
            </w:tr>
            <w:tr>
              <w:trPr>
                <w:cantSplit w:val="0"/>
                <w:trHeight w:val="5760" w:hRule="atLeast"/>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27">
                  <w:pPr>
                    <w:ind w:left="-1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[Font: TNR, 11] </w:t>
                  </w:r>
                  <w:r w:rsidDel="00000000" w:rsidR="00000000" w:rsidRPr="00000000">
                    <w:rPr>
                      <w:rFonts w:ascii="Times New Roman" w:cs="Times New Roman" w:eastAsia="Times New Roman" w:hAnsi="Times New Roman"/>
                      <w:rtl w:val="0"/>
                    </w:rPr>
                    <w:t xml:space="preserve">Introduction, problem statement, objectives, methodology, findings, summary of discussion, conclusion, significant of research, and specific contribution to international scholarship in the field of study.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w:t>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29">
            <w:pPr>
              <w:ind w:left="-100" w:firstLine="0"/>
              <w:jc w:val="both"/>
              <w:rPr>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ind w:left="-108" w:firstLine="0"/>
              <w:jc w:val="both"/>
              <w:rPr>
                <w:rFonts w:ascii="Times New Roman" w:cs="Times New Roman" w:eastAsia="Times New Roman" w:hAnsi="Times New Roman"/>
                <w:b w:val="1"/>
                <w:color w:val="ff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F">
            <w:pPr>
              <w:ind w:left="702" w:hanging="810"/>
              <w:jc w:val="both"/>
              <w:rPr>
                <w:b w:val="1"/>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30">
            <w:pPr>
              <w:jc w:val="both"/>
              <w:rPr>
                <w:sz w:val="18"/>
                <w:szCs w:val="18"/>
              </w:rPr>
            </w:pPr>
            <w:r w:rsidDel="00000000" w:rsidR="00000000" w:rsidRPr="00000000">
              <w:rPr>
                <w:rtl w:val="0"/>
              </w:rPr>
            </w:r>
          </w:p>
        </w:tc>
      </w:tr>
    </w:tbl>
    <w:p w:rsidR="00000000" w:rsidDel="00000000" w:rsidP="00000000" w:rsidRDefault="00000000" w:rsidRPr="00000000" w14:paraId="00000031">
      <w:pPr>
        <w:spacing w:line="240" w:lineRule="auto"/>
        <w:jc w:val="both"/>
        <w:rPr>
          <w:b w:val="1"/>
        </w:rPr>
      </w:pPr>
      <w:r w:rsidDel="00000000" w:rsidR="00000000" w:rsidRPr="00000000">
        <w:rPr>
          <w:rtl w:val="0"/>
        </w:rPr>
      </w:r>
    </w:p>
    <w:p w:rsidR="00000000" w:rsidDel="00000000" w:rsidP="00000000" w:rsidRDefault="00000000" w:rsidRPr="00000000" w14:paraId="00000032">
      <w:pPr>
        <w:spacing w:line="240" w:lineRule="auto"/>
        <w:jc w:val="both"/>
        <w:rPr>
          <w:b w:val="1"/>
        </w:rPr>
      </w:pPr>
      <w:r w:rsidDel="00000000" w:rsidR="00000000" w:rsidRPr="00000000">
        <w:rPr>
          <w:rtl w:val="0"/>
        </w:rPr>
      </w:r>
    </w:p>
    <w:p w:rsidR="00000000" w:rsidDel="00000000" w:rsidP="00000000" w:rsidRDefault="00000000" w:rsidRPr="00000000" w14:paraId="00000033">
      <w:pPr>
        <w:spacing w:line="240" w:lineRule="auto"/>
        <w:jc w:val="both"/>
        <w:rPr>
          <w:b w:val="1"/>
        </w:rPr>
      </w:pPr>
      <w:r w:rsidDel="00000000" w:rsidR="00000000" w:rsidRPr="00000000">
        <w:rPr>
          <w:rtl w:val="0"/>
        </w:rPr>
      </w:r>
    </w:p>
    <w:p w:rsidR="00000000" w:rsidDel="00000000" w:rsidP="00000000" w:rsidRDefault="00000000" w:rsidRPr="00000000" w14:paraId="00000034">
      <w:pPr>
        <w:spacing w:line="240" w:lineRule="auto"/>
        <w:jc w:val="both"/>
        <w:rPr>
          <w:b w:val="1"/>
        </w:rPr>
      </w:pPr>
      <w:r w:rsidDel="00000000" w:rsidR="00000000" w:rsidRPr="00000000">
        <w:rPr>
          <w:rtl w:val="0"/>
        </w:rPr>
      </w:r>
    </w:p>
    <w:p w:rsidR="00000000" w:rsidDel="00000000" w:rsidP="00000000" w:rsidRDefault="00000000" w:rsidRPr="00000000" w14:paraId="00000035">
      <w:pPr>
        <w:spacing w:line="240" w:lineRule="auto"/>
        <w:jc w:val="both"/>
        <w:rPr>
          <w:b w:val="1"/>
        </w:rPr>
      </w:pPr>
      <w:r w:rsidDel="00000000" w:rsidR="00000000" w:rsidRPr="00000000">
        <w:rPr>
          <w:rtl w:val="0"/>
        </w:rPr>
      </w:r>
    </w:p>
    <w:p w:rsidR="00000000" w:rsidDel="00000000" w:rsidP="00000000" w:rsidRDefault="00000000" w:rsidRPr="00000000" w14:paraId="00000036">
      <w:pPr>
        <w:spacing w:line="240" w:lineRule="auto"/>
        <w:jc w:val="both"/>
        <w:rPr>
          <w:b w:val="1"/>
        </w:rPr>
      </w:pPr>
      <w:r w:rsidDel="00000000" w:rsidR="00000000" w:rsidRPr="00000000">
        <w:rPr>
          <w:rtl w:val="0"/>
        </w:rPr>
      </w:r>
    </w:p>
    <w:p w:rsidR="00000000" w:rsidDel="00000000" w:rsidP="00000000" w:rsidRDefault="00000000" w:rsidRPr="00000000" w14:paraId="00000037">
      <w:pPr>
        <w:spacing w:line="240" w:lineRule="auto"/>
        <w:jc w:val="both"/>
        <w:rPr>
          <w:b w:val="1"/>
        </w:rPr>
      </w:pPr>
      <w:r w:rsidDel="00000000" w:rsidR="00000000" w:rsidRPr="00000000">
        <w:rPr>
          <w:rtl w:val="0"/>
        </w:rPr>
      </w:r>
    </w:p>
    <w:p w:rsidR="00000000" w:rsidDel="00000000" w:rsidP="00000000" w:rsidRDefault="00000000" w:rsidRPr="00000000" w14:paraId="00000038">
      <w:pPr>
        <w:spacing w:line="240" w:lineRule="auto"/>
        <w:jc w:val="both"/>
        <w:rPr>
          <w:b w:val="1"/>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color w:val="ee0000"/>
        </w:rPr>
      </w:pPr>
      <w:r w:rsidDel="00000000" w:rsidR="00000000" w:rsidRPr="00000000">
        <w:rPr>
          <w:rFonts w:ascii="Times New Roman" w:cs="Times New Roman" w:eastAsia="Times New Roman" w:hAnsi="Times New Roman"/>
          <w:b w:val="1"/>
          <w:color w:val="000000"/>
          <w:rtl w:val="0"/>
        </w:rPr>
        <w:t xml:space="preserve">Introduction</w:t>
      </w:r>
      <w:r w:rsidDel="00000000" w:rsidR="00000000" w:rsidRPr="00000000">
        <w:rPr>
          <w:rFonts w:ascii="Times New Roman" w:cs="Times New Roman" w:eastAsia="Times New Roman" w:hAnsi="Times New Roman"/>
          <w:b w:val="1"/>
          <w:color w:val="ee0000"/>
          <w:rtl w:val="0"/>
        </w:rPr>
        <w:t xml:space="preserve"> [TNR, 11, Bold, Single Spacing]</w:t>
      </w:r>
    </w:p>
    <w:p w:rsidR="00000000" w:rsidDel="00000000" w:rsidP="00000000" w:rsidRDefault="00000000" w:rsidRPr="00000000" w14:paraId="0000003A">
      <w:pPr>
        <w:spacing w:line="240" w:lineRule="auto"/>
        <w:jc w:val="both"/>
        <w:rPr>
          <w:rFonts w:ascii="Times New Roman" w:cs="Times New Roman" w:eastAsia="Times New Roman" w:hAnsi="Times New Roman"/>
          <w:b w:val="1"/>
        </w:rPr>
      </w:pPr>
      <w:bookmarkStart w:colFirst="0" w:colLast="0" w:name="_oyakejtakw9i" w:id="2"/>
      <w:bookmarkEnd w:id="2"/>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(Moeckli, 2008). </w:t>
      </w:r>
      <w:r w:rsidDel="00000000" w:rsidR="00000000" w:rsidRPr="00000000">
        <w:rPr>
          <w:rtl w:val="0"/>
        </w:rPr>
      </w:r>
    </w:p>
    <w:p w:rsidR="00000000" w:rsidDel="00000000" w:rsidP="00000000" w:rsidRDefault="00000000" w:rsidRPr="00000000" w14:paraId="0000003B">
      <w:pPr>
        <w:keepNext w:val="1"/>
        <w:keepLines w:val="1"/>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Literature Review </w:t>
      </w:r>
    </w:p>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rsidR="00000000" w:rsidDel="00000000" w:rsidP="00000000" w:rsidRDefault="00000000" w:rsidRPr="00000000" w14:paraId="0000003D">
      <w:pPr>
        <w:keepNext w:val="1"/>
        <w:keepLines w:val="1"/>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Methodology</w:t>
      </w:r>
    </w:p>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rsidR="00000000" w:rsidDel="00000000" w:rsidP="00000000" w:rsidRDefault="00000000" w:rsidRPr="00000000" w14:paraId="0000003F">
      <w:pPr>
        <w:keepNext w:val="1"/>
        <w:keepLines w:val="1"/>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Results and Findings</w:t>
      </w:r>
    </w:p>
    <w:p w:rsidR="00000000" w:rsidDel="00000000" w:rsidP="00000000" w:rsidRDefault="00000000" w:rsidRPr="00000000" w14:paraId="00000040">
      <w:pPr>
        <w:keepNext w:val="1"/>
        <w:keepLines w:val="1"/>
        <w:spacing w:line="24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Findings 1</w:t>
      </w:r>
    </w:p>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rsidR="00000000" w:rsidDel="00000000" w:rsidP="00000000" w:rsidRDefault="00000000" w:rsidRPr="00000000" w14:paraId="00000042">
      <w:pPr>
        <w:keepNext w:val="1"/>
        <w:keepLines w:val="1"/>
        <w:spacing w:line="24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Findings 2</w:t>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rsidR="00000000" w:rsidDel="00000000" w:rsidP="00000000" w:rsidRDefault="00000000" w:rsidRPr="00000000" w14:paraId="00000044">
      <w:pPr>
        <w:keepNext w:val="1"/>
        <w:keepLines w:val="1"/>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w:t>
      </w:r>
      <w:r w:rsidDel="00000000" w:rsidR="00000000" w:rsidRPr="00000000">
        <w:rPr>
          <w:rtl w:val="0"/>
        </w:rPr>
      </w:r>
    </w:p>
    <w:p w:rsidR="00000000" w:rsidDel="00000000" w:rsidP="00000000" w:rsidRDefault="00000000" w:rsidRPr="00000000" w14:paraId="00000045">
      <w:pPr>
        <w:keepNext w:val="1"/>
        <w:keepLines w:val="1"/>
        <w:spacing w:line="240" w:lineRule="auto"/>
        <w:jc w:val="both"/>
        <w:rPr>
          <w:rFonts w:ascii="Times New Roman" w:cs="Times New Roman" w:eastAsia="Times New Roman" w:hAnsi="Times New Roman"/>
          <w:b w:val="1"/>
          <w:i w:val="1"/>
          <w:color w:val="000000"/>
        </w:rPr>
      </w:pPr>
      <w:bookmarkStart w:colFirst="0" w:colLast="0" w:name="_jfq574p7x4my" w:id="3"/>
      <w:bookmarkEnd w:id="3"/>
      <w:r w:rsidDel="00000000" w:rsidR="00000000" w:rsidRPr="00000000">
        <w:rPr>
          <w:rFonts w:ascii="Times New Roman" w:cs="Times New Roman" w:eastAsia="Times New Roman" w:hAnsi="Times New Roman"/>
          <w:b w:val="1"/>
          <w:i w:val="1"/>
          <w:color w:val="000000"/>
          <w:rtl w:val="0"/>
        </w:rPr>
        <w:t xml:space="preserve">Sub-Discussion 1</w:t>
      </w:r>
    </w:p>
    <w:p w:rsidR="00000000" w:rsidDel="00000000" w:rsidP="00000000" w:rsidRDefault="00000000" w:rsidRPr="00000000" w14:paraId="0000004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(Maras, 2013).</w:t>
      </w:r>
    </w:p>
    <w:p w:rsidR="00000000" w:rsidDel="00000000" w:rsidP="00000000" w:rsidRDefault="00000000" w:rsidRPr="00000000" w14:paraId="00000047">
      <w:pPr>
        <w:keepNext w:val="1"/>
        <w:keepLines w:val="1"/>
        <w:spacing w:line="24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Sub-Discussion 2</w:t>
      </w:r>
    </w:p>
    <w:p w:rsidR="00000000" w:rsidDel="00000000" w:rsidP="00000000" w:rsidRDefault="00000000" w:rsidRPr="00000000" w14:paraId="0000004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(Maras, 2013).</w:t>
      </w:r>
    </w:p>
    <w:p w:rsidR="00000000" w:rsidDel="00000000" w:rsidP="00000000" w:rsidRDefault="00000000" w:rsidRPr="00000000" w14:paraId="0000004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draft, terrorism is defined as:</w:t>
      </w:r>
    </w:p>
    <w:p w:rsidR="00000000" w:rsidDel="00000000" w:rsidP="00000000" w:rsidRDefault="00000000" w:rsidRPr="00000000" w14:paraId="0000004A">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“…all criminal acts directed against a State and intended or circulated to create a state of terror in the minds of particular persons or organisation of persons or the general public”. </w:t>
      </w:r>
    </w:p>
    <w:p w:rsidR="00000000" w:rsidDel="00000000" w:rsidP="00000000" w:rsidRDefault="00000000" w:rsidRPr="00000000" w14:paraId="0000004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though the convention had never come into existence, this definition was used as a guide in subsequent discussions on terrorism at the UN (Rupérez, 2007).</w:t>
      </w:r>
    </w:p>
    <w:p w:rsidR="00000000" w:rsidDel="00000000" w:rsidP="00000000" w:rsidRDefault="00000000" w:rsidRPr="00000000" w14:paraId="0000004C">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Figure 1:</w:t>
      </w:r>
      <w:r w:rsidDel="00000000" w:rsidR="00000000" w:rsidRPr="00000000">
        <w:rPr>
          <w:rFonts w:ascii="Times New Roman" w:cs="Times New Roman" w:eastAsia="Times New Roman" w:hAnsi="Times New Roman"/>
          <w:rtl w:val="0"/>
        </w:rPr>
        <w:t xml:space="preserve"> Framework of Watanic Jurisprudence (Juliani Halim, 2017)</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67946</wp:posOffset>
            </wp:positionH>
            <wp:positionV relativeFrom="paragraph">
              <wp:posOffset>420370</wp:posOffset>
            </wp:positionV>
            <wp:extent cx="5589270" cy="3566795"/>
            <wp:effectExtent b="9525" l="9525" r="9525" t="9525"/>
            <wp:wrapTopAndBottom distB="0" distT="0"/>
            <wp:docPr descr="A diagram of a law&#10;&#10;Description automatically generated" id="1" name="image3.png"/>
            <a:graphic>
              <a:graphicData uri="http://schemas.openxmlformats.org/drawingml/2006/picture">
                <pic:pic>
                  <pic:nvPicPr>
                    <pic:cNvPr descr="A diagram of a law&#10;&#10;Description automatically generated" id="0" name="image3.png"/>
                    <pic:cNvPicPr preferRelativeResize="0"/>
                  </pic:nvPicPr>
                  <pic:blipFill>
                    <a:blip r:embed="rId11"/>
                    <a:srcRect b="7779" l="9966" r="8613" t="0"/>
                    <a:stretch>
                      <a:fillRect/>
                    </a:stretch>
                  </pic:blipFill>
                  <pic:spPr>
                    <a:xfrm>
                      <a:off x="0" y="0"/>
                      <a:ext cx="5589270" cy="3566795"/>
                    </a:xfrm>
                    <a:prstGeom prst="rect"/>
                    <a:ln w="9525">
                      <a:solidFill>
                        <a:srgbClr val="000000"/>
                      </a:solidFill>
                      <a:prstDash val="solid"/>
                    </a:ln>
                  </pic:spPr>
                </pic:pic>
              </a:graphicData>
            </a:graphic>
          </wp:anchor>
        </w:drawing>
      </w:r>
    </w:p>
    <w:p w:rsidR="00000000" w:rsidDel="00000000" w:rsidP="00000000" w:rsidRDefault="00000000" w:rsidRPr="00000000" w14:paraId="0000004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method illustrated by watanic jurisprudence is supported by the Federal Court in the case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i w:val="1"/>
          <w:rtl w:val="0"/>
        </w:rPr>
        <w:t xml:space="preserve"> Indira Gandhi A/P. Mutho v. Director</w:t>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i w:val="1"/>
          <w:rtl w:val="0"/>
        </w:rPr>
        <w:t xml:space="preserve">Perak Islamic Religious Department &amp; Ors and other appeals </w:t>
      </w:r>
      <w:r w:rsidDel="00000000" w:rsidR="00000000" w:rsidRPr="00000000">
        <w:rPr>
          <w:rFonts w:ascii="Times New Roman" w:cs="Times New Roman" w:eastAsia="Times New Roman" w:hAnsi="Times New Roman"/>
          <w:rtl w:val="0"/>
        </w:rPr>
        <w:t xml:space="preserve">[2018] 1 MLJ 545</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when the Federal Court adopts the constitutional method of interpretation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by  the  Supreme Court of Canada as follows: </w:t>
      </w:r>
    </w:p>
    <w:p w:rsidR="00000000" w:rsidDel="00000000" w:rsidP="00000000" w:rsidRDefault="00000000" w:rsidRPr="00000000" w14:paraId="0000004F">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Conclusion </w:t>
      </w:r>
    </w:p>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rsidR="00000000" w:rsidDel="00000000" w:rsidP="00000000" w:rsidRDefault="00000000" w:rsidRPr="00000000" w14:paraId="0000005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Acknowledgement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ee0000"/>
          <w:rtl w:val="0"/>
        </w:rPr>
        <w:t xml:space="preserve">[MANDATORY, TNR, 11, Bold Single Spacing]</w:t>
      </w: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is under scholarship …..</w:t>
      </w:r>
    </w:p>
    <w:p w:rsidR="00000000" w:rsidDel="00000000" w:rsidP="00000000" w:rsidRDefault="00000000" w:rsidRPr="00000000" w14:paraId="0000005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0"/>
        <w:spacing w:before="240" w:line="240" w:lineRule="auto"/>
        <w:ind w:left="480" w:hanging="48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55">
      <w:pPr>
        <w:spacing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See the APAstyle website</w:t>
      </w:r>
      <w:r w:rsidDel="00000000" w:rsidR="00000000" w:rsidRPr="00000000">
        <w:rPr>
          <w:b w:val="1"/>
          <w:color w:val="ff0000"/>
          <w:rtl w:val="0"/>
        </w:rPr>
        <w:t xml:space="preserve"> ( </w:t>
      </w:r>
      <w:hyperlink r:id="rId12">
        <w:r w:rsidDel="00000000" w:rsidR="00000000" w:rsidRPr="00000000">
          <w:rPr>
            <w:b w:val="1"/>
            <w:color w:val="0563c1"/>
            <w:u w:val="single"/>
            <w:rtl w:val="0"/>
          </w:rPr>
          <w:t xml:space="preserve">https://libraryguides.vu.edu.au/apa-referencing/7FormatsAndExamples</w:t>
        </w:r>
      </w:hyperlink>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color w:val="ff0000"/>
          <w:rtl w:val="0"/>
        </w:rPr>
        <w:t xml:space="preserve">[Font: TNR, 11] </w:t>
      </w:r>
      <w:r w:rsidDel="00000000" w:rsidR="00000000" w:rsidRPr="00000000">
        <w:rPr>
          <w:rFonts w:ascii="Times New Roman" w:cs="Times New Roman" w:eastAsia="Times New Roman" w:hAnsi="Times New Roman"/>
          <w:b w:val="1"/>
          <w:color w:val="ff0000"/>
          <w:rtl w:val="0"/>
        </w:rPr>
        <w:t xml:space="preserve">[APA 7</w:t>
      </w:r>
      <w:r w:rsidDel="00000000" w:rsidR="00000000" w:rsidRPr="00000000">
        <w:rPr>
          <w:rFonts w:ascii="Times New Roman" w:cs="Times New Roman" w:eastAsia="Times New Roman" w:hAnsi="Times New Roman"/>
          <w:b w:val="1"/>
          <w:color w:val="ff0000"/>
          <w:vertAlign w:val="superscript"/>
          <w:rtl w:val="0"/>
        </w:rPr>
        <w:t xml:space="preserve">th</w:t>
      </w:r>
      <w:r w:rsidDel="00000000" w:rsidR="00000000" w:rsidRPr="00000000">
        <w:rPr>
          <w:rFonts w:ascii="Times New Roman" w:cs="Times New Roman" w:eastAsia="Times New Roman" w:hAnsi="Times New Roman"/>
          <w:b w:val="1"/>
          <w:color w:val="ff0000"/>
          <w:rtl w:val="0"/>
        </w:rPr>
        <w:t xml:space="preserve"> Edition, Single Spacing- Sort A-Z Ascending]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7">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Ahrens, C. B. (2004). Chechnya and the right of self-determination. </w:t>
      </w:r>
      <w:r w:rsidDel="00000000" w:rsidR="00000000" w:rsidRPr="00000000">
        <w:rPr>
          <w:rFonts w:ascii="Times New Roman" w:cs="Times New Roman" w:eastAsia="Times New Roman" w:hAnsi="Times New Roman"/>
          <w:i w:val="1"/>
          <w:rtl w:val="0"/>
        </w:rPr>
        <w:t xml:space="preserve">Columbia Journal of Transnational Law, 42</w:t>
      </w:r>
      <w:r w:rsidDel="00000000" w:rsidR="00000000" w:rsidRPr="00000000">
        <w:rPr>
          <w:rFonts w:ascii="Times New Roman" w:cs="Times New Roman" w:eastAsia="Times New Roman" w:hAnsi="Times New Roman"/>
          <w:rtl w:val="0"/>
        </w:rPr>
        <w:t xml:space="preserve">, 575-616.</w:t>
      </w:r>
      <w:r w:rsidDel="00000000" w:rsidR="00000000" w:rsidRPr="00000000">
        <w:rPr>
          <w:rtl w:val="0"/>
        </w:rPr>
      </w:r>
    </w:p>
    <w:p w:rsidR="00000000" w:rsidDel="00000000" w:rsidP="00000000" w:rsidRDefault="00000000" w:rsidRPr="00000000" w14:paraId="00000058">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Akzin, B. (1939). The Palestine mandate in practice. </w:t>
      </w:r>
      <w:r w:rsidDel="00000000" w:rsidR="00000000" w:rsidRPr="00000000">
        <w:rPr>
          <w:rFonts w:ascii="Times New Roman" w:cs="Times New Roman" w:eastAsia="Times New Roman" w:hAnsi="Times New Roman"/>
          <w:i w:val="1"/>
          <w:rtl w:val="0"/>
        </w:rPr>
        <w:t xml:space="preserve">Iowa Law Review, 25</w:t>
      </w:r>
      <w:r w:rsidDel="00000000" w:rsidR="00000000" w:rsidRPr="00000000">
        <w:rPr>
          <w:rFonts w:ascii="Times New Roman" w:cs="Times New Roman" w:eastAsia="Times New Roman" w:hAnsi="Times New Roman"/>
          <w:rtl w:val="0"/>
        </w:rPr>
        <w:t xml:space="preserve">, 32-77.</w:t>
      </w:r>
    </w:p>
    <w:p w:rsidR="00000000" w:rsidDel="00000000" w:rsidP="00000000" w:rsidRDefault="00000000" w:rsidRPr="00000000" w14:paraId="00000059">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Aljamal, Y. (2014). Hamas: Terrorism organisation or liberation movement. </w:t>
      </w:r>
      <w:r w:rsidDel="00000000" w:rsidR="00000000" w:rsidRPr="00000000">
        <w:rPr>
          <w:rFonts w:ascii="Times New Roman" w:cs="Times New Roman" w:eastAsia="Times New Roman" w:hAnsi="Times New Roman"/>
          <w:i w:val="1"/>
          <w:rtl w:val="0"/>
        </w:rPr>
        <w:t xml:space="preserve">Политикологија Религије (The Politics and Religion Journal)</w:t>
      </w:r>
      <w:r w:rsidDel="00000000" w:rsidR="00000000" w:rsidRPr="00000000">
        <w:rPr>
          <w:rFonts w:ascii="Times New Roman" w:cs="Times New Roman" w:eastAsia="Times New Roman" w:hAnsi="Times New Roman"/>
          <w:rtl w:val="0"/>
        </w:rPr>
        <w:t xml:space="preserve">, 39-58.</w:t>
      </w:r>
    </w:p>
    <w:p w:rsidR="00000000" w:rsidDel="00000000" w:rsidP="00000000" w:rsidRDefault="00000000" w:rsidRPr="00000000" w14:paraId="0000005A">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Anderson, G. (2015). Unilateral non-colonial secession and the criteria for statehood in international law. </w:t>
      </w:r>
      <w:r w:rsidDel="00000000" w:rsidR="00000000" w:rsidRPr="00000000">
        <w:rPr>
          <w:rFonts w:ascii="Times New Roman" w:cs="Times New Roman" w:eastAsia="Times New Roman" w:hAnsi="Times New Roman"/>
          <w:i w:val="1"/>
          <w:rtl w:val="0"/>
        </w:rPr>
        <w:t xml:space="preserve">Brooklyn Journal of International Law, 41</w:t>
      </w:r>
      <w:r w:rsidDel="00000000" w:rsidR="00000000" w:rsidRPr="00000000">
        <w:rPr>
          <w:rFonts w:ascii="Times New Roman" w:cs="Times New Roman" w:eastAsia="Times New Roman" w:hAnsi="Times New Roman"/>
          <w:rtl w:val="0"/>
        </w:rPr>
        <w:t xml:space="preserve">(1), 1-98.</w:t>
      </w:r>
    </w:p>
    <w:p w:rsidR="00000000" w:rsidDel="00000000" w:rsidP="00000000" w:rsidRDefault="00000000" w:rsidRPr="00000000" w14:paraId="0000005B">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Annan, K. (2005). Closing plenary of the international summit on democracy, terrorism and security. </w:t>
      </w:r>
      <w:r w:rsidDel="00000000" w:rsidR="00000000" w:rsidRPr="00000000">
        <w:rPr>
          <w:rFonts w:ascii="Times New Roman" w:cs="Times New Roman" w:eastAsia="Times New Roman" w:hAnsi="Times New Roman"/>
          <w:i w:val="1"/>
          <w:rtl w:val="0"/>
        </w:rPr>
        <w:t xml:space="preserve">Keynote Address.</w:t>
      </w:r>
      <w:r w:rsidDel="00000000" w:rsidR="00000000" w:rsidRPr="00000000">
        <w:rPr>
          <w:rFonts w:ascii="Times New Roman" w:cs="Times New Roman" w:eastAsia="Times New Roman" w:hAnsi="Times New Roman"/>
          <w:rtl w:val="0"/>
        </w:rPr>
        <w:t xml:space="preserve"> Madrid.</w:t>
      </w:r>
    </w:p>
    <w:p w:rsidR="00000000" w:rsidDel="00000000" w:rsidP="00000000" w:rsidRDefault="00000000" w:rsidRPr="00000000" w14:paraId="0000005C">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Strating, R. (2014). The Indonesia-Timor-Leste commission of truth and friendship: Enhancing bilateral relations at the expense of justice. </w:t>
      </w:r>
      <w:r w:rsidDel="00000000" w:rsidR="00000000" w:rsidRPr="00000000">
        <w:rPr>
          <w:rFonts w:ascii="Times New Roman" w:cs="Times New Roman" w:eastAsia="Times New Roman" w:hAnsi="Times New Roman"/>
          <w:i w:val="1"/>
          <w:rtl w:val="0"/>
        </w:rPr>
        <w:t xml:space="preserve">Contemporary Southeast Asia, 36</w:t>
      </w:r>
      <w:r w:rsidDel="00000000" w:rsidR="00000000" w:rsidRPr="00000000">
        <w:rPr>
          <w:rFonts w:ascii="Times New Roman" w:cs="Times New Roman" w:eastAsia="Times New Roman" w:hAnsi="Times New Roman"/>
          <w:rtl w:val="0"/>
        </w:rPr>
        <w:t xml:space="preserve">(2), 232–261.</w:t>
      </w:r>
    </w:p>
    <w:p w:rsidR="00000000" w:rsidDel="00000000" w:rsidP="00000000" w:rsidRDefault="00000000" w:rsidRPr="00000000" w14:paraId="0000005D">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Nations. (2006). </w:t>
      </w:r>
      <w:r w:rsidDel="00000000" w:rsidR="00000000" w:rsidRPr="00000000">
        <w:rPr>
          <w:rFonts w:ascii="Times New Roman" w:cs="Times New Roman" w:eastAsia="Times New Roman" w:hAnsi="Times New Roman"/>
          <w:i w:val="1"/>
          <w:rtl w:val="0"/>
        </w:rPr>
        <w:t xml:space="preserve">Quartet Statement.</w:t>
      </w:r>
      <w:r w:rsidDel="00000000" w:rsidR="00000000" w:rsidRPr="00000000">
        <w:rPr>
          <w:rFonts w:ascii="Times New Roman" w:cs="Times New Roman" w:eastAsia="Times New Roman" w:hAnsi="Times New Roman"/>
          <w:rtl w:val="0"/>
        </w:rPr>
        <w:t xml:space="preserve"> London: United Nations.</w:t>
      </w:r>
    </w:p>
    <w:p w:rsidR="00000000" w:rsidDel="00000000" w:rsidP="00000000" w:rsidRDefault="00000000" w:rsidRPr="00000000" w14:paraId="0000005E">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Varko, R. (2005). The status and protection of unlawful combatants. </w:t>
      </w:r>
      <w:r w:rsidDel="00000000" w:rsidR="00000000" w:rsidRPr="00000000">
        <w:rPr>
          <w:rFonts w:ascii="Times New Roman" w:cs="Times New Roman" w:eastAsia="Times New Roman" w:hAnsi="Times New Roman"/>
          <w:i w:val="1"/>
          <w:rtl w:val="0"/>
        </w:rPr>
        <w:t xml:space="preserve">Juridica International, 10</w:t>
      </w:r>
      <w:r w:rsidDel="00000000" w:rsidR="00000000" w:rsidRPr="00000000">
        <w:rPr>
          <w:rFonts w:ascii="Times New Roman" w:cs="Times New Roman" w:eastAsia="Times New Roman" w:hAnsi="Times New Roman"/>
          <w:rtl w:val="0"/>
        </w:rPr>
        <w:t xml:space="preserve">, 191-198.</w:t>
      </w:r>
    </w:p>
    <w:p w:rsidR="00000000" w:rsidDel="00000000" w:rsidP="00000000" w:rsidRDefault="00000000" w:rsidRPr="00000000" w14:paraId="0000005F">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Vyver, J. D. (2010). Prosecuting terrorism in international tribunals. </w:t>
      </w:r>
      <w:r w:rsidDel="00000000" w:rsidR="00000000" w:rsidRPr="00000000">
        <w:rPr>
          <w:rFonts w:ascii="Times New Roman" w:cs="Times New Roman" w:eastAsia="Times New Roman" w:hAnsi="Times New Roman"/>
          <w:i w:val="1"/>
          <w:rtl w:val="0"/>
        </w:rPr>
        <w:t xml:space="preserve">Emory International Law Review, 24</w:t>
      </w:r>
      <w:r w:rsidDel="00000000" w:rsidR="00000000" w:rsidRPr="00000000">
        <w:rPr>
          <w:rFonts w:ascii="Times New Roman" w:cs="Times New Roman" w:eastAsia="Times New Roman" w:hAnsi="Times New Roman"/>
          <w:rtl w:val="0"/>
        </w:rPr>
        <w:t xml:space="preserve">(2), 527-548.</w:t>
      </w:r>
    </w:p>
    <w:p w:rsidR="00000000" w:rsidDel="00000000" w:rsidP="00000000" w:rsidRDefault="00000000" w:rsidRPr="00000000" w14:paraId="00000060">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Yau, S. S. (2018). The legality of the use of force for self-determination. </w:t>
      </w:r>
      <w:r w:rsidDel="00000000" w:rsidR="00000000" w:rsidRPr="00000000">
        <w:rPr>
          <w:rFonts w:ascii="Times New Roman" w:cs="Times New Roman" w:eastAsia="Times New Roman" w:hAnsi="Times New Roman"/>
          <w:i w:val="1"/>
          <w:rtl w:val="0"/>
        </w:rPr>
        <w:t xml:space="preserve">The Palestine Yearbook of International Law, 21</w:t>
      </w:r>
      <w:r w:rsidDel="00000000" w:rsidR="00000000" w:rsidRPr="00000000">
        <w:rPr>
          <w:rFonts w:ascii="Times New Roman" w:cs="Times New Roman" w:eastAsia="Times New Roman" w:hAnsi="Times New Roman"/>
          <w:rtl w:val="0"/>
        </w:rPr>
        <w:t xml:space="preserve">, 32-76.</w:t>
      </w:r>
    </w:p>
    <w:p w:rsidR="00000000" w:rsidDel="00000000" w:rsidP="00000000" w:rsidRDefault="00000000" w:rsidRPr="00000000" w14:paraId="00000061">
      <w:pP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Whitney, E., &amp; Rolfes, S. (2011). </w:t>
      </w:r>
      <w:r w:rsidDel="00000000" w:rsidR="00000000" w:rsidRPr="00000000">
        <w:rPr>
          <w:rFonts w:ascii="Times New Roman" w:cs="Times New Roman" w:eastAsia="Times New Roman" w:hAnsi="Times New Roman"/>
          <w:i w:val="1"/>
          <w:color w:val="000000"/>
          <w:rtl w:val="0"/>
        </w:rPr>
        <w:t xml:space="preserve">Understanding nutrition</w:t>
      </w:r>
      <w:r w:rsidDel="00000000" w:rsidR="00000000" w:rsidRPr="00000000">
        <w:rPr>
          <w:rFonts w:ascii="Times New Roman" w:cs="Times New Roman" w:eastAsia="Times New Roman" w:hAnsi="Times New Roman"/>
          <w:color w:val="000000"/>
          <w:rtl w:val="0"/>
        </w:rPr>
        <w:t xml:space="preserve"> (12th ed.). Australia: Wadsworth Cengage Learning. </w:t>
      </w:r>
    </w:p>
    <w:p w:rsidR="00000000" w:rsidDel="00000000" w:rsidP="00000000" w:rsidRDefault="00000000" w:rsidRPr="00000000" w14:paraId="00000062">
      <w:pP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Watson, R., McKenna, H., Cowman, S., &amp; Keady, K. (Eds.). (2008). </w:t>
      </w:r>
      <w:r w:rsidDel="00000000" w:rsidR="00000000" w:rsidRPr="00000000">
        <w:rPr>
          <w:rFonts w:ascii="Times New Roman" w:cs="Times New Roman" w:eastAsia="Times New Roman" w:hAnsi="Times New Roman"/>
          <w:i w:val="1"/>
          <w:color w:val="000000"/>
          <w:rtl w:val="0"/>
        </w:rPr>
        <w:t xml:space="preserve">Nursing research: Designs and methods</w:t>
      </w:r>
      <w:r w:rsidDel="00000000" w:rsidR="00000000" w:rsidRPr="00000000">
        <w:rPr>
          <w:rFonts w:ascii="Times New Roman" w:cs="Times New Roman" w:eastAsia="Times New Roman" w:hAnsi="Times New Roman"/>
          <w:color w:val="000000"/>
          <w:rtl w:val="0"/>
        </w:rPr>
        <w:t xml:space="preserve">. Edinburgh, Scotland: Churchill Livingstone Elsevier.</w:t>
      </w:r>
    </w:p>
    <w:p w:rsidR="00000000" w:rsidDel="00000000" w:rsidP="00000000" w:rsidRDefault="00000000" w:rsidRPr="00000000" w14:paraId="00000063">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Duff Development Co. v. The State of Kelantan</w:t>
      </w:r>
      <w:r w:rsidDel="00000000" w:rsidR="00000000" w:rsidRPr="00000000">
        <w:rPr>
          <w:rFonts w:ascii="Times New Roman" w:cs="Times New Roman" w:eastAsia="Times New Roman" w:hAnsi="Times New Roman"/>
          <w:color w:val="000000"/>
          <w:rtl w:val="0"/>
        </w:rPr>
        <w:t xml:space="preserve"> [1924] AC 797.</w:t>
      </w:r>
    </w:p>
    <w:p w:rsidR="00000000" w:rsidDel="00000000" w:rsidP="00000000" w:rsidRDefault="00000000" w:rsidRPr="00000000" w14:paraId="00000064">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Emergency (Necessary Powers) Ordinance No. 7 1969 [P.U. (A) 307A/1969].</w:t>
      </w:r>
      <w:r w:rsidDel="00000000" w:rsidR="00000000" w:rsidRPr="00000000">
        <w:rPr>
          <w:rtl w:val="0"/>
        </w:rPr>
      </w:r>
    </w:p>
    <w:p w:rsidR="00000000" w:rsidDel="00000000" w:rsidP="00000000" w:rsidRDefault="00000000" w:rsidRPr="00000000" w14:paraId="00000065">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Enakmen (Pindaan) Undang-undang Tubuh Selangor 1974 (En. No. 7/1974).</w:t>
      </w:r>
    </w:p>
    <w:p w:rsidR="00000000" w:rsidDel="00000000" w:rsidP="00000000" w:rsidRDefault="00000000" w:rsidRPr="00000000" w14:paraId="00000066">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Exclusive Economic Zone Act 1984 [Act 311]</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67">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Federal Constitution of Malaya 1957.</w:t>
      </w:r>
    </w:p>
    <w:p w:rsidR="00000000" w:rsidDel="00000000" w:rsidP="00000000" w:rsidRDefault="00000000" w:rsidRPr="00000000" w14:paraId="00000068">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Federal Constitution (published by the Commissioner of Law Revision, Malaysia 2020).</w:t>
      </w:r>
    </w:p>
    <w:p w:rsidR="00000000" w:rsidDel="00000000" w:rsidP="00000000" w:rsidRDefault="00000000" w:rsidRPr="00000000" w14:paraId="00000069">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Federation Agreement of Malaya 1948 (Gazetted Notification No. 6, February 5, 1948, No. 1, Vol. 1).</w:t>
      </w:r>
    </w:p>
    <w:p w:rsidR="00000000" w:rsidDel="00000000" w:rsidP="00000000" w:rsidRDefault="00000000" w:rsidRPr="00000000" w14:paraId="0000006A">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Federation of Malaya Order in Council 1948 (Gazetted Notification No. 5, February 5, 1948, No. 1, Vol. 1)</w:t>
      </w:r>
    </w:p>
    <w:p w:rsidR="00000000" w:rsidDel="00000000" w:rsidP="00000000" w:rsidRDefault="00000000" w:rsidRPr="00000000" w14:paraId="0000006B">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Federation Agreement of Malaya 1957.</w:t>
      </w:r>
    </w:p>
    <w:p w:rsidR="00000000" w:rsidDel="00000000" w:rsidP="00000000" w:rsidRDefault="00000000" w:rsidRPr="00000000" w14:paraId="0000006C">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Federation of Malaya Independence Act, 1957 (British Legislation, Chapter 60, 5 &amp; 6 ELIZ 2).</w:t>
      </w:r>
      <w:r w:rsidDel="00000000" w:rsidR="00000000" w:rsidRPr="00000000">
        <w:rPr>
          <w:rtl w:val="0"/>
        </w:rPr>
      </w:r>
    </w:p>
    <w:p w:rsidR="00000000" w:rsidDel="00000000" w:rsidP="00000000" w:rsidRDefault="00000000" w:rsidRPr="00000000" w14:paraId="0000006D">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rtl w:val="0"/>
        </w:rPr>
        <w:t xml:space="preserve">Indira Gandhi A/P. Mutho v. Director</w:t>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i w:val="1"/>
          <w:rtl w:val="0"/>
        </w:rPr>
        <w:t xml:space="preserve">Perak Islamic Religious Department &amp; Ors and other appeals </w:t>
      </w:r>
      <w:r w:rsidDel="00000000" w:rsidR="00000000" w:rsidRPr="00000000">
        <w:rPr>
          <w:rFonts w:ascii="Times New Roman" w:cs="Times New Roman" w:eastAsia="Times New Roman" w:hAnsi="Times New Roman"/>
          <w:rtl w:val="0"/>
        </w:rPr>
        <w:t xml:space="preserve">[2015] 7 MLJ 153.</w:t>
      </w:r>
      <w:r w:rsidDel="00000000" w:rsidR="00000000" w:rsidRPr="00000000">
        <w:rPr>
          <w:rtl w:val="0"/>
        </w:rPr>
      </w:r>
    </w:p>
    <w:p w:rsidR="00000000" w:rsidDel="00000000" w:rsidP="00000000" w:rsidRDefault="00000000" w:rsidRPr="00000000" w14:paraId="0000006E">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 de Allen, AJ Stockwell &amp; LR Wright (eds). (1981). </w:t>
      </w:r>
      <w:r w:rsidDel="00000000" w:rsidR="00000000" w:rsidRPr="00000000">
        <w:rPr>
          <w:rFonts w:ascii="Times New Roman" w:cs="Times New Roman" w:eastAsia="Times New Roman" w:hAnsi="Times New Roman"/>
          <w:i w:val="1"/>
          <w:color w:val="000000"/>
          <w:rtl w:val="0"/>
        </w:rPr>
        <w:t xml:space="preserve">A Collection of Treaties and Other Documents Affecting the States of Malaysia.</w:t>
      </w:r>
      <w:r w:rsidDel="00000000" w:rsidR="00000000" w:rsidRPr="00000000">
        <w:rPr>
          <w:rFonts w:ascii="Times New Roman" w:cs="Times New Roman" w:eastAsia="Times New Roman" w:hAnsi="Times New Roman"/>
          <w:color w:val="000000"/>
          <w:rtl w:val="0"/>
        </w:rPr>
        <w:t xml:space="preserve"> 2.</w:t>
      </w:r>
    </w:p>
    <w:p w:rsidR="00000000" w:rsidDel="00000000" w:rsidP="00000000" w:rsidRDefault="00000000" w:rsidRPr="00000000" w14:paraId="0000006F">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Kuala Lumpur Agreement Between Federal Government with The State Government of Selangor (28 January 1974).</w:t>
      </w:r>
    </w:p>
    <w:p w:rsidR="00000000" w:rsidDel="00000000" w:rsidP="00000000" w:rsidRDefault="00000000" w:rsidRPr="00000000" w14:paraId="00000070">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Memorandum of Proposal by Their Royal Highnesses the Malay Rulers Malay (12 September 1956).</w:t>
      </w:r>
    </w:p>
    <w:p w:rsidR="00000000" w:rsidDel="00000000" w:rsidP="00000000" w:rsidRDefault="00000000" w:rsidRPr="00000000" w14:paraId="00000071">
      <w:pPr>
        <w:spacing w:after="0" w:line="24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Mighell v. the Sultan of Johore</w:t>
      </w:r>
      <w:r w:rsidDel="00000000" w:rsidR="00000000" w:rsidRPr="00000000">
        <w:rPr>
          <w:rFonts w:ascii="Times New Roman" w:cs="Times New Roman" w:eastAsia="Times New Roman" w:hAnsi="Times New Roman"/>
          <w:color w:val="000000"/>
          <w:rtl w:val="0"/>
        </w:rPr>
        <w:t xml:space="preserve"> [1894] 1 Q.B 149 (C.A).</w:t>
      </w:r>
    </w:p>
    <w:p w:rsidR="00000000" w:rsidDel="00000000" w:rsidP="00000000" w:rsidRDefault="00000000" w:rsidRPr="00000000" w14:paraId="00000072">
      <w:pPr>
        <w:spacing w:after="0" w:line="240" w:lineRule="auto"/>
        <w:ind w:left="720" w:hanging="72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73">
      <w:pPr>
        <w:spacing w:after="0" w:line="240" w:lineRule="auto"/>
        <w:ind w:left="720" w:hanging="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When a source has up to seven (7) authors, include all names in the reference list. </w:t>
      </w:r>
    </w:p>
    <w:p w:rsidR="00000000" w:rsidDel="00000000" w:rsidP="00000000" w:rsidRDefault="00000000" w:rsidRPr="00000000" w14:paraId="00000074">
      <w:pP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Mikosch, P., Hadrawa, T., Laubreiter, K., Brandl, J., Pilz, J., Stettner, H., &amp; Grimm, G. (2010). Effectiveness of respiratory-sinus-arrhythmia biofeedback on state-anxiety in patients undergoing coronary angiography. </w:t>
      </w:r>
      <w:r w:rsidDel="00000000" w:rsidR="00000000" w:rsidRPr="00000000">
        <w:rPr>
          <w:rFonts w:ascii="Times New Roman" w:cs="Times New Roman" w:eastAsia="Times New Roman" w:hAnsi="Times New Roman"/>
          <w:i w:val="1"/>
          <w:color w:val="000000"/>
          <w:rtl w:val="0"/>
        </w:rPr>
        <w:t xml:space="preserve">Journal of Advanced Nursing</w:t>
      </w:r>
      <w:r w:rsidDel="00000000" w:rsidR="00000000" w:rsidRPr="00000000">
        <w:rPr>
          <w:rFonts w:ascii="Times New Roman" w:cs="Times New Roman" w:eastAsia="Times New Roman" w:hAnsi="Times New Roman"/>
          <w:color w:val="000000"/>
          <w:rtl w:val="0"/>
        </w:rPr>
        <w:t xml:space="preserve">, 6</w:t>
      </w:r>
      <w:r w:rsidDel="00000000" w:rsidR="00000000" w:rsidRPr="00000000">
        <w:rPr>
          <w:rFonts w:ascii="Times New Roman" w:cs="Times New Roman" w:eastAsia="Times New Roman" w:hAnsi="Times New Roman"/>
          <w:i w:val="1"/>
          <w:color w:val="000000"/>
          <w:rtl w:val="0"/>
        </w:rPr>
        <w:t xml:space="preserve">6</w:t>
      </w:r>
      <w:r w:rsidDel="00000000" w:rsidR="00000000" w:rsidRPr="00000000">
        <w:rPr>
          <w:rFonts w:ascii="Times New Roman" w:cs="Times New Roman" w:eastAsia="Times New Roman" w:hAnsi="Times New Roman"/>
          <w:color w:val="000000"/>
          <w:rtl w:val="0"/>
        </w:rPr>
        <w:t xml:space="preserve">(5), 1101-1110. </w:t>
      </w:r>
    </w:p>
    <w:p w:rsidR="00000000" w:rsidDel="00000000" w:rsidP="00000000" w:rsidRDefault="00000000" w:rsidRPr="00000000" w14:paraId="00000076">
      <w:pPr>
        <w:spacing w:after="0" w:line="240" w:lineRule="auto"/>
        <w:ind w:left="720" w:hanging="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Web Source:</w:t>
      </w:r>
    </w:p>
    <w:p w:rsidR="00000000" w:rsidDel="00000000" w:rsidP="00000000" w:rsidRDefault="00000000" w:rsidRPr="00000000" w14:paraId="00000077">
      <w:pPr>
        <w:spacing w:after="0" w:line="240" w:lineRule="auto"/>
        <w:ind w:left="720" w:hanging="72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8">
      <w:pPr>
        <w:spacing w:after="0"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Ministry of Health. (2014). Ebola: Information for the public. Retrieved from http://www.health.govt.nz/your-health/conditions-and-treatments/diseases-and- illnesses/ebolainformation-public </w:t>
      </w:r>
    </w:p>
    <w:p w:rsidR="00000000" w:rsidDel="00000000" w:rsidP="00000000" w:rsidRDefault="00000000" w:rsidRPr="00000000" w14:paraId="00000079">
      <w:pPr>
        <w:spacing w:after="0"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Department of Treasury. (2006). </w:t>
      </w:r>
      <w:r w:rsidDel="00000000" w:rsidR="00000000" w:rsidRPr="00000000">
        <w:rPr>
          <w:rFonts w:ascii="Times New Roman" w:cs="Times New Roman" w:eastAsia="Times New Roman" w:hAnsi="Times New Roman"/>
          <w:i w:val="1"/>
          <w:rtl w:val="0"/>
        </w:rPr>
        <w:t xml:space="preserve">Palestinian authority.</w:t>
      </w:r>
      <w:r w:rsidDel="00000000" w:rsidR="00000000" w:rsidRPr="00000000">
        <w:rPr>
          <w:rFonts w:ascii="Times New Roman" w:cs="Times New Roman" w:eastAsia="Times New Roman" w:hAnsi="Times New Roman"/>
          <w:rtl w:val="0"/>
        </w:rPr>
        <w:t xml:space="preserve"> Retrieved from https://www.treasury.gov/resource-center/sanctions/Programs/Pages/pa.aspx</w:t>
      </w:r>
    </w:p>
    <w:p w:rsidR="00000000" w:rsidDel="00000000" w:rsidP="00000000" w:rsidRDefault="00000000" w:rsidRPr="00000000" w14:paraId="0000007A">
      <w:pPr>
        <w:widowControl w:val="0"/>
        <w:spacing w:before="240" w:line="240" w:lineRule="auto"/>
        <w:ind w:left="480" w:hanging="480"/>
        <w:jc w:val="both"/>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440" w:top="1206" w:left="1440" w:right="1252"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69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Malaysian Journal of Information and Communication Technology (MyJICT) | Vol. 10, No. 1, pp. X-X | June 2025</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Malaysian Journal of Information and Communication Technology (MyJICT) | Vol. 10, No. 1, pp. X-X | June 2025</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-908684</wp:posOffset>
          </wp:positionH>
          <wp:positionV relativeFrom="paragraph">
            <wp:posOffset>-448308</wp:posOffset>
          </wp:positionV>
          <wp:extent cx="7539990" cy="140652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9990" cy="1406525"/>
                  </a:xfrm>
                  <a:prstGeom prst="rect"/>
                  <a:ln/>
                </pic:spPr>
              </pic:pic>
            </a:graphicData>
          </a:graphic>
        </wp:anchor>
      </w:drawing>
    </w:r>
  </w:p>
  <w:tbl>
    <w:tblPr>
      <w:tblStyle w:val="Table3"/>
      <w:tblW w:w="9356.0" w:type="dxa"/>
      <w:jc w:val="left"/>
      <w:tblInd w:w="-142.0" w:type="dxa"/>
      <w:tblLayout w:type="fixed"/>
      <w:tblLook w:val="0400"/>
    </w:tblPr>
    <w:tblGrid>
      <w:gridCol w:w="5245"/>
      <w:gridCol w:w="4111"/>
      <w:tblGridChange w:id="0">
        <w:tblGrid>
          <w:gridCol w:w="5245"/>
          <w:gridCol w:w="4111"/>
        </w:tblGrid>
      </w:tblGridChange>
    </w:tblGrid>
    <w:tr>
      <w:trPr>
        <w:cantSplit w:val="0"/>
        <w:trHeight w:val="1272" w:hRule="atLeast"/>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 w:val="center" w:leader="none" w:pos="2910"/>
            </w:tabs>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tabs>
              <w:tab w:val="left" w:leader="none" w:pos="3942"/>
            </w:tabs>
            <w:rPr/>
          </w:pPr>
          <w:r w:rsidDel="00000000" w:rsidR="00000000" w:rsidRPr="00000000">
            <w:rPr>
              <w:rtl w:val="0"/>
            </w:rPr>
            <w:tab/>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 w:val="right" w:leader="none" w:pos="5760"/>
            </w:tabs>
            <w:jc w:val="right"/>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right" w:leader="none" w:pos="5760"/>
            </w:tabs>
            <w:ind w:right="-110"/>
            <w:jc w:val="right"/>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Vol. 10, Issue 1, pp. x-x | JUNE 2025 </w:t>
          </w:r>
        </w:p>
        <w:p w:rsidR="00000000" w:rsidDel="00000000" w:rsidP="00000000" w:rsidRDefault="00000000" w:rsidRPr="00000000" w14:paraId="00000086">
          <w:pPr>
            <w:ind w:left="33" w:right="-110"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DOI: </w:t>
          </w:r>
          <w:hyperlink r:id="rId2">
            <w:r w:rsidDel="00000000" w:rsidR="00000000" w:rsidRPr="00000000">
              <w:rPr>
                <w:rFonts w:ascii="Times New Roman" w:cs="Times New Roman" w:eastAsia="Times New Roman" w:hAnsi="Times New Roman"/>
                <w:color w:val="0563c1"/>
                <w:sz w:val="18"/>
                <w:szCs w:val="18"/>
                <w:u w:val="single"/>
                <w:rtl w:val="0"/>
              </w:rPr>
              <w:t xml:space="preserve">https://doi.org/10.33102/myjict.vol17no1.xxx</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87">
          <w:pPr>
            <w:ind w:left="33" w:right="-110" w:firstLine="0"/>
            <w:jc w:val="right"/>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color="000000" w:space="1" w:sz="12" w:val="single"/>
        <w:right w:space="0" w:sz="0" w:val="nil"/>
        <w:between w:space="0" w:sz="0" w:val="nil"/>
      </w:pBdr>
      <w:tabs>
        <w:tab w:val="center" w:leader="none" w:pos="4513"/>
        <w:tab w:val="right" w:leader="none" w:pos="5760"/>
      </w:tabs>
      <w:spacing w:after="0" w:line="240" w:lineRule="auto"/>
      <w:rPr>
        <w:color w:val="000000"/>
        <w:sz w:val="4"/>
        <w:szCs w:val="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spacing w:after="60" w:before="240" w:lin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mailto:myjict@uis.edu.my" TargetMode="External"/><Relationship Id="rId13" Type="http://schemas.openxmlformats.org/officeDocument/2006/relationships/header" Target="header2.xml"/><Relationship Id="rId12" Type="http://schemas.openxmlformats.org/officeDocument/2006/relationships/hyperlink" Target="https://libraryguides.vu.edu.au/apa-referencing/7FormatsAndExamp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reativecommons.org/licenses/by-nc/4.0/"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aaron@uis.edu.my" TargetMode="External"/><Relationship Id="rId18" Type="http://schemas.openxmlformats.org/officeDocument/2006/relationships/footer" Target="footer1.xml"/><Relationship Id="rId7" Type="http://schemas.openxmlformats.org/officeDocument/2006/relationships/hyperlink" Target="https://doi.org/10.33102/myjict.vol10no1.xx" TargetMode="External"/><Relationship Id="rId8"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i.org/10.33102/myjict.vol17no1.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y fmtid="{D5CDD505-2E9C-101B-9397-08002B2CF9AE}" pid="6" name="ContentTypeId">
    <vt:lpwstr>0x0101005174AC1E1E4F1E4E8764C256B6A527A1</vt:lpwstr>
  </property>
</Properties>
</file>