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D791" w14:textId="77777777" w:rsidR="003775D5" w:rsidRDefault="003775D5" w:rsidP="00A76A97">
      <w:pPr>
        <w:spacing w:line="0" w:lineRule="atLeast"/>
        <w:rPr>
          <w:rFonts w:ascii="Arial" w:eastAsia="Arial" w:hAnsi="Arial"/>
          <w:b/>
          <w:sz w:val="21"/>
          <w:u w:val="single"/>
        </w:rPr>
      </w:pPr>
    </w:p>
    <w:p w14:paraId="6D9EA459" w14:textId="77777777" w:rsidR="003775D5" w:rsidRDefault="003775D5">
      <w:pPr>
        <w:spacing w:line="304" w:lineRule="exact"/>
        <w:rPr>
          <w:rFonts w:ascii="Times New Roman" w:eastAsia="Times New Roman" w:hAnsi="Times New Roman"/>
          <w:sz w:val="24"/>
        </w:rPr>
      </w:pPr>
    </w:p>
    <w:p w14:paraId="40024A35" w14:textId="77777777" w:rsidR="00CE6613" w:rsidRDefault="00CE6613" w:rsidP="00582E8D">
      <w:pPr>
        <w:bidi/>
        <w:spacing w:line="0" w:lineRule="atLeast"/>
        <w:jc w:val="center"/>
        <w:rPr>
          <w:rFonts w:ascii="Traditional Arabic" w:eastAsia="Times New Roman" w:hAnsi="Traditional Arabic" w:cs="Traditional Arabic"/>
          <w:bCs/>
          <w:sz w:val="36"/>
          <w:szCs w:val="36"/>
          <w:u w:val="single"/>
        </w:rPr>
      </w:pPr>
      <w:r w:rsidRPr="00CE6613">
        <w:rPr>
          <w:rFonts w:ascii="Traditional Arabic" w:eastAsia="Times New Roman" w:hAnsi="Traditional Arabic" w:cs="Traditional Arabic"/>
          <w:bCs/>
          <w:sz w:val="36"/>
          <w:szCs w:val="36"/>
          <w:u w:val="single"/>
          <w:rtl/>
        </w:rPr>
        <w:t>صيغة كتابة الملخّص</w:t>
      </w:r>
    </w:p>
    <w:p w14:paraId="46188AAE" w14:textId="77777777" w:rsidR="00582E8D" w:rsidRPr="00CE6613" w:rsidRDefault="00582E8D" w:rsidP="00582E8D">
      <w:pPr>
        <w:bidi/>
        <w:spacing w:line="0" w:lineRule="atLeast"/>
        <w:jc w:val="center"/>
        <w:rPr>
          <w:rFonts w:ascii="Traditional Arabic" w:eastAsia="Times New Roman" w:hAnsi="Traditional Arabic" w:cs="Traditional Arabic"/>
          <w:bCs/>
          <w:sz w:val="36"/>
          <w:szCs w:val="36"/>
          <w:u w:val="single"/>
          <w:lang w:val="en-US"/>
        </w:rPr>
      </w:pPr>
    </w:p>
    <w:p w14:paraId="32E59C9C" w14:textId="08BF41E2"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 xml:space="preserve">يُكتب عنوان الملخّص بخط </w:t>
      </w:r>
      <w:r w:rsidRPr="00582E8D">
        <w:rPr>
          <w:rFonts w:ascii="Traditional Arabic" w:eastAsia="Times New Roman" w:hAnsi="Traditional Arabic" w:cs="Traditional Arabic"/>
          <w:b/>
          <w:bCs/>
          <w:sz w:val="32"/>
          <w:szCs w:val="32"/>
          <w:lang w:val="en-US"/>
        </w:rPr>
        <w:t>Traditional Arabic</w:t>
      </w:r>
      <w:r w:rsidRPr="00582E8D">
        <w:rPr>
          <w:rFonts w:ascii="Traditional Arabic" w:eastAsia="Times New Roman" w:hAnsi="Traditional Arabic" w:cs="Traditional Arabic"/>
          <w:b/>
          <w:sz w:val="32"/>
          <w:szCs w:val="32"/>
          <w:lang w:val="en-US"/>
        </w:rPr>
        <w:t xml:space="preserve"> </w:t>
      </w:r>
      <w:r w:rsidRPr="00582E8D">
        <w:rPr>
          <w:rFonts w:ascii="Traditional Arabic" w:eastAsia="Times New Roman" w:hAnsi="Traditional Arabic" w:cs="Traditional Arabic"/>
          <w:b/>
          <w:sz w:val="32"/>
          <w:szCs w:val="32"/>
          <w:rtl/>
        </w:rPr>
        <w:t xml:space="preserve">حجم </w:t>
      </w:r>
      <w:r w:rsidRPr="00582E8D">
        <w:rPr>
          <w:rFonts w:ascii="Traditional Arabic" w:eastAsia="Times New Roman" w:hAnsi="Traditional Arabic" w:cs="Traditional Arabic"/>
          <w:b/>
          <w:bCs/>
          <w:sz w:val="32"/>
          <w:szCs w:val="32"/>
          <w:lang w:val="en-US"/>
        </w:rPr>
        <w:t>18</w:t>
      </w:r>
      <w:r w:rsidRPr="00582E8D">
        <w:rPr>
          <w:rFonts w:ascii="Traditional Arabic" w:eastAsia="Times New Roman" w:hAnsi="Traditional Arabic" w:cs="Traditional Arabic"/>
          <w:b/>
          <w:sz w:val="32"/>
          <w:szCs w:val="32"/>
          <w:rtl/>
        </w:rPr>
        <w:t>،  وبخط عريض</w:t>
      </w:r>
      <w:r w:rsidRPr="00582E8D">
        <w:rPr>
          <w:rFonts w:ascii="Traditional Arabic" w:eastAsia="Times New Roman" w:hAnsi="Traditional Arabic" w:cs="Traditional Arabic"/>
          <w:b/>
          <w:sz w:val="32"/>
          <w:szCs w:val="32"/>
          <w:lang w:val="en-US"/>
        </w:rPr>
        <w:t xml:space="preserve"> (</w:t>
      </w:r>
      <w:r w:rsidRPr="00582E8D">
        <w:rPr>
          <w:rFonts w:ascii="Traditional Arabic" w:eastAsia="Times New Roman" w:hAnsi="Traditional Arabic" w:cs="Traditional Arabic"/>
          <w:b/>
          <w:bCs/>
          <w:sz w:val="32"/>
          <w:szCs w:val="32"/>
          <w:lang w:val="en-US"/>
        </w:rPr>
        <w:t>Bold</w:t>
      </w:r>
      <w:r w:rsidRPr="00582E8D">
        <w:rPr>
          <w:rFonts w:ascii="Traditional Arabic" w:eastAsia="Times New Roman" w:hAnsi="Traditional Arabic" w:cs="Traditional Arabic"/>
          <w:b/>
          <w:sz w:val="32"/>
          <w:szCs w:val="32"/>
          <w:lang w:val="en-US"/>
        </w:rPr>
        <w:t>)</w:t>
      </w:r>
      <w:r w:rsidRPr="00582E8D">
        <w:rPr>
          <w:rFonts w:ascii="Traditional Arabic" w:eastAsia="Times New Roman" w:hAnsi="Traditional Arabic" w:cs="Traditional Arabic"/>
          <w:b/>
          <w:sz w:val="32"/>
          <w:szCs w:val="32"/>
          <w:rtl/>
        </w:rPr>
        <w:t>، مع توسيطه في الصفحة</w:t>
      </w:r>
      <w:r w:rsidRPr="00582E8D">
        <w:rPr>
          <w:rFonts w:ascii="Traditional Arabic" w:eastAsia="Times New Roman" w:hAnsi="Traditional Arabic" w:cs="Traditional Arabic"/>
          <w:b/>
          <w:sz w:val="32"/>
          <w:szCs w:val="32"/>
          <w:lang w:val="en-US"/>
        </w:rPr>
        <w:t>.</w:t>
      </w:r>
    </w:p>
    <w:p w14:paraId="2DB5DFD8" w14:textId="4111DC50"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تُذكر أسماء الباحثين، واسم المؤسسة، وعنوان البريد الإلكتروني</w:t>
      </w:r>
      <w:r w:rsidRPr="00582E8D">
        <w:rPr>
          <w:rFonts w:ascii="Traditional Arabic" w:eastAsia="Times New Roman" w:hAnsi="Traditional Arabic" w:cs="Traditional Arabic"/>
          <w:b/>
          <w:sz w:val="32"/>
          <w:szCs w:val="32"/>
          <w:lang w:val="en-US"/>
        </w:rPr>
        <w:t>.</w:t>
      </w:r>
    </w:p>
    <w:p w14:paraId="35592CC6" w14:textId="6FC27E17"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يجب أن يُكتب م</w:t>
      </w:r>
      <w:r w:rsidRPr="00582E8D">
        <w:rPr>
          <w:rFonts w:ascii="Traditional Arabic" w:eastAsia="Times New Roman" w:hAnsi="Traditional Arabic" w:cs="Traditional Arabic" w:hint="cs"/>
          <w:b/>
          <w:sz w:val="32"/>
          <w:szCs w:val="32"/>
          <w:rtl/>
        </w:rPr>
        <w:t>حتوى</w:t>
      </w:r>
      <w:r w:rsidRPr="00582E8D">
        <w:rPr>
          <w:rFonts w:ascii="Traditional Arabic" w:eastAsia="Times New Roman" w:hAnsi="Traditional Arabic" w:cs="Traditional Arabic"/>
          <w:b/>
          <w:sz w:val="32"/>
          <w:szCs w:val="32"/>
          <w:rtl/>
        </w:rPr>
        <w:t xml:space="preserve"> الملخّص بخط </w:t>
      </w:r>
      <w:r w:rsidRPr="00582E8D">
        <w:rPr>
          <w:rFonts w:ascii="Traditional Arabic" w:eastAsia="Times New Roman" w:hAnsi="Traditional Arabic" w:cs="Traditional Arabic"/>
          <w:b/>
          <w:bCs/>
          <w:sz w:val="32"/>
          <w:szCs w:val="32"/>
          <w:lang w:val="en-US"/>
        </w:rPr>
        <w:t>Traditional Arabic</w:t>
      </w:r>
      <w:r w:rsidRPr="00582E8D">
        <w:rPr>
          <w:rFonts w:ascii="Traditional Arabic" w:eastAsia="Times New Roman" w:hAnsi="Traditional Arabic" w:cs="Traditional Arabic"/>
          <w:b/>
          <w:sz w:val="32"/>
          <w:szCs w:val="32"/>
          <w:lang w:val="en-US"/>
        </w:rPr>
        <w:t xml:space="preserve"> </w:t>
      </w:r>
      <w:r w:rsidRPr="00582E8D">
        <w:rPr>
          <w:rFonts w:ascii="Traditional Arabic" w:eastAsia="Times New Roman" w:hAnsi="Traditional Arabic" w:cs="Traditional Arabic"/>
          <w:b/>
          <w:sz w:val="32"/>
          <w:szCs w:val="32"/>
          <w:rtl/>
        </w:rPr>
        <w:t xml:space="preserve">حجم </w:t>
      </w:r>
      <w:r w:rsidRPr="00582E8D">
        <w:rPr>
          <w:rFonts w:ascii="Traditional Arabic" w:eastAsia="Times New Roman" w:hAnsi="Traditional Arabic" w:cs="Traditional Arabic"/>
          <w:b/>
          <w:bCs/>
          <w:sz w:val="32"/>
          <w:szCs w:val="32"/>
          <w:lang w:val="en-US"/>
        </w:rPr>
        <w:t>16</w:t>
      </w:r>
      <w:r w:rsidRPr="00582E8D">
        <w:rPr>
          <w:rFonts w:ascii="Traditional Arabic" w:eastAsia="Times New Roman" w:hAnsi="Traditional Arabic" w:cs="Traditional Arabic"/>
          <w:b/>
          <w:sz w:val="32"/>
          <w:szCs w:val="32"/>
          <w:lang w:val="en-US"/>
        </w:rPr>
        <w:t xml:space="preserve"> </w:t>
      </w:r>
      <w:r w:rsidRPr="00582E8D">
        <w:rPr>
          <w:rFonts w:ascii="Traditional Arabic" w:eastAsia="Times New Roman" w:hAnsi="Traditional Arabic" w:cs="Traditional Arabic"/>
          <w:b/>
          <w:sz w:val="32"/>
          <w:szCs w:val="32"/>
          <w:rtl/>
        </w:rPr>
        <w:t xml:space="preserve">، وبمسافة سطرية </w:t>
      </w:r>
      <w:r w:rsidRPr="00582E8D">
        <w:rPr>
          <w:rFonts w:ascii="Traditional Arabic" w:eastAsia="Times New Roman" w:hAnsi="Traditional Arabic" w:cs="Traditional Arabic"/>
          <w:b/>
          <w:bCs/>
          <w:sz w:val="32"/>
          <w:szCs w:val="32"/>
          <w:lang w:val="en-US"/>
        </w:rPr>
        <w:t>1.0</w:t>
      </w:r>
      <w:r w:rsidRPr="00582E8D">
        <w:rPr>
          <w:rFonts w:ascii="Traditional Arabic" w:eastAsia="Times New Roman" w:hAnsi="Traditional Arabic" w:cs="Traditional Arabic"/>
          <w:b/>
          <w:sz w:val="32"/>
          <w:szCs w:val="32"/>
          <w:rtl/>
        </w:rPr>
        <w:t xml:space="preserve">، على ورق بحجم </w:t>
      </w:r>
      <w:r w:rsidRPr="00582E8D">
        <w:rPr>
          <w:rFonts w:ascii="Traditional Arabic" w:eastAsia="Times New Roman" w:hAnsi="Traditional Arabic" w:cs="Traditional Arabic"/>
          <w:b/>
          <w:bCs/>
          <w:sz w:val="32"/>
          <w:szCs w:val="32"/>
          <w:lang w:val="en-US"/>
        </w:rPr>
        <w:t>A4</w:t>
      </w:r>
      <w:r w:rsidRPr="00582E8D">
        <w:rPr>
          <w:rFonts w:ascii="Traditional Arabic" w:eastAsia="Times New Roman" w:hAnsi="Traditional Arabic" w:cs="Traditional Arabic"/>
          <w:b/>
          <w:sz w:val="32"/>
          <w:szCs w:val="32"/>
          <w:lang w:val="en-US"/>
        </w:rPr>
        <w:t>.</w:t>
      </w:r>
    </w:p>
    <w:p w14:paraId="39177076" w14:textId="0332254A"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 xml:space="preserve">تكون المسافة بين أسماء الباحثين وكلمة </w:t>
      </w:r>
      <w:r w:rsidRPr="00582E8D">
        <w:rPr>
          <w:rFonts w:ascii="Traditional Arabic" w:eastAsia="Times New Roman" w:hAnsi="Traditional Arabic" w:cs="Traditional Arabic"/>
          <w:b/>
          <w:bCs/>
          <w:sz w:val="32"/>
          <w:szCs w:val="32"/>
          <w:lang w:val="en-US"/>
        </w:rPr>
        <w:t>«</w:t>
      </w:r>
      <w:r w:rsidR="00B658E8" w:rsidRPr="00582E8D">
        <w:rPr>
          <w:rFonts w:ascii="Traditional Arabic" w:eastAsia="Times New Roman" w:hAnsi="Traditional Arabic" w:cs="Traditional Arabic" w:hint="cs"/>
          <w:b/>
          <w:bCs/>
          <w:sz w:val="32"/>
          <w:szCs w:val="32"/>
          <w:rtl/>
        </w:rPr>
        <w:t>م</w:t>
      </w:r>
      <w:r w:rsidRPr="00582E8D">
        <w:rPr>
          <w:rFonts w:ascii="Traditional Arabic" w:eastAsia="Times New Roman" w:hAnsi="Traditional Arabic" w:cs="Traditional Arabic"/>
          <w:b/>
          <w:bCs/>
          <w:sz w:val="32"/>
          <w:szCs w:val="32"/>
          <w:rtl/>
        </w:rPr>
        <w:t>لخّ</w:t>
      </w:r>
      <w:r w:rsidR="00B658E8" w:rsidRPr="00582E8D">
        <w:rPr>
          <w:rFonts w:ascii="Traditional Arabic" w:eastAsia="Times New Roman" w:hAnsi="Traditional Arabic" w:cs="Traditional Arabic" w:hint="cs"/>
          <w:b/>
          <w:bCs/>
          <w:sz w:val="32"/>
          <w:szCs w:val="32"/>
          <w:rtl/>
        </w:rPr>
        <w:t>ص البحث</w:t>
      </w:r>
      <w:r w:rsidRPr="00582E8D">
        <w:rPr>
          <w:rFonts w:ascii="Traditional Arabic" w:eastAsia="Times New Roman" w:hAnsi="Traditional Arabic" w:cs="Traditional Arabic"/>
          <w:b/>
          <w:bCs/>
          <w:sz w:val="32"/>
          <w:szCs w:val="32"/>
          <w:lang w:val="en-US"/>
        </w:rPr>
        <w:t>»</w:t>
      </w:r>
      <w:r w:rsidRPr="00582E8D">
        <w:rPr>
          <w:rFonts w:ascii="Traditional Arabic" w:eastAsia="Times New Roman" w:hAnsi="Traditional Arabic" w:cs="Traditional Arabic"/>
          <w:b/>
          <w:sz w:val="32"/>
          <w:szCs w:val="32"/>
          <w:lang w:val="en-US"/>
        </w:rPr>
        <w:t xml:space="preserve"> </w:t>
      </w:r>
      <w:r w:rsidR="00B658E8" w:rsidRPr="00582E8D">
        <w:rPr>
          <w:rFonts w:ascii="Traditional Arabic" w:eastAsia="Times New Roman" w:hAnsi="Traditional Arabic" w:cs="Traditional Arabic" w:hint="cs"/>
          <w:b/>
          <w:sz w:val="32"/>
          <w:szCs w:val="32"/>
          <w:rtl/>
          <w:lang w:val="en-US"/>
        </w:rPr>
        <w:t>ا</w:t>
      </w:r>
      <w:r w:rsidRPr="00582E8D">
        <w:rPr>
          <w:rFonts w:ascii="Traditional Arabic" w:eastAsia="Times New Roman" w:hAnsi="Traditional Arabic" w:cs="Traditional Arabic"/>
          <w:b/>
          <w:sz w:val="32"/>
          <w:szCs w:val="32"/>
          <w:rtl/>
        </w:rPr>
        <w:t>بمقدار ضغط</w:t>
      </w:r>
      <w:r w:rsidRPr="00582E8D">
        <w:rPr>
          <w:rFonts w:ascii="Traditional Arabic" w:eastAsia="Times New Roman" w:hAnsi="Traditional Arabic" w:cs="Traditional Arabic" w:hint="cs"/>
          <w:b/>
          <w:sz w:val="32"/>
          <w:szCs w:val="32"/>
          <w:rtl/>
          <w:lang w:bidi="ar-EG"/>
        </w:rPr>
        <w:t>تين</w:t>
      </w:r>
      <w:r w:rsidRPr="00582E8D">
        <w:rPr>
          <w:rFonts w:ascii="Traditional Arabic" w:eastAsia="Times New Roman" w:hAnsi="Traditional Arabic" w:cs="Traditional Arabic"/>
          <w:b/>
          <w:sz w:val="32"/>
          <w:szCs w:val="32"/>
          <w:rtl/>
        </w:rPr>
        <w:t xml:space="preserve"> على زر الإدخال</w:t>
      </w:r>
      <w:r w:rsidRPr="00582E8D">
        <w:rPr>
          <w:rFonts w:ascii="Traditional Arabic" w:eastAsia="Times New Roman" w:hAnsi="Traditional Arabic" w:cs="Traditional Arabic"/>
          <w:b/>
          <w:sz w:val="32"/>
          <w:szCs w:val="32"/>
          <w:lang w:val="en-US"/>
        </w:rPr>
        <w:t xml:space="preserve"> (</w:t>
      </w:r>
      <w:r w:rsidRPr="00582E8D">
        <w:rPr>
          <w:rFonts w:ascii="Traditional Arabic" w:eastAsia="Times New Roman" w:hAnsi="Traditional Arabic" w:cs="Traditional Arabic"/>
          <w:b/>
          <w:bCs/>
          <w:sz w:val="32"/>
          <w:szCs w:val="32"/>
          <w:lang w:val="en-US"/>
        </w:rPr>
        <w:t>Enter</w:t>
      </w:r>
      <w:r w:rsidRPr="00582E8D">
        <w:rPr>
          <w:rFonts w:ascii="Traditional Arabic" w:eastAsia="Times New Roman" w:hAnsi="Traditional Arabic" w:cs="Traditional Arabic"/>
          <w:b/>
          <w:sz w:val="32"/>
          <w:szCs w:val="32"/>
          <w:lang w:val="en-US"/>
        </w:rPr>
        <w:t>).</w:t>
      </w:r>
    </w:p>
    <w:p w14:paraId="5342321D" w14:textId="26D0C85C"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ينبغي أن يشتمل ملخّص</w:t>
      </w:r>
      <w:r w:rsidR="00B658E8" w:rsidRPr="00582E8D">
        <w:rPr>
          <w:rFonts w:ascii="Traditional Arabic" w:eastAsia="Times New Roman" w:hAnsi="Traditional Arabic" w:cs="Traditional Arabic" w:hint="cs"/>
          <w:b/>
          <w:sz w:val="32"/>
          <w:szCs w:val="32"/>
          <w:rtl/>
        </w:rPr>
        <w:t xml:space="preserve"> البحث</w:t>
      </w:r>
      <w:r w:rsidRPr="00582E8D">
        <w:rPr>
          <w:rFonts w:ascii="Traditional Arabic" w:eastAsia="Times New Roman" w:hAnsi="Traditional Arabic" w:cs="Traditional Arabic"/>
          <w:b/>
          <w:sz w:val="32"/>
          <w:szCs w:val="32"/>
          <w:rtl/>
        </w:rPr>
        <w:t xml:space="preserve"> على ما يأتي</w:t>
      </w:r>
      <w:r w:rsidRPr="00582E8D">
        <w:rPr>
          <w:rFonts w:ascii="Traditional Arabic" w:eastAsia="Times New Roman" w:hAnsi="Traditional Arabic" w:cs="Traditional Arabic"/>
          <w:b/>
          <w:sz w:val="32"/>
          <w:szCs w:val="32"/>
          <w:lang w:val="en-US"/>
        </w:rPr>
        <w:t>:</w:t>
      </w:r>
    </w:p>
    <w:p w14:paraId="2D8954CF" w14:textId="7F866FBE" w:rsidR="00CE6613" w:rsidRPr="00582E8D" w:rsidRDefault="00CE6613" w:rsidP="00582E8D">
      <w:pPr>
        <w:pStyle w:val="ListParagraph"/>
        <w:numPr>
          <w:ilvl w:val="1"/>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المقدمة؛</w:t>
      </w:r>
    </w:p>
    <w:p w14:paraId="08874D9D" w14:textId="0EB6ADE0" w:rsidR="00CE6613" w:rsidRPr="00582E8D" w:rsidRDefault="00CE6613" w:rsidP="00582E8D">
      <w:pPr>
        <w:pStyle w:val="ListParagraph"/>
        <w:numPr>
          <w:ilvl w:val="1"/>
          <w:numId w:val="10"/>
        </w:numPr>
        <w:bidi/>
        <w:spacing w:line="0" w:lineRule="atLeast"/>
        <w:ind w:hanging="444"/>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إشكالية الدراسة؛</w:t>
      </w:r>
    </w:p>
    <w:p w14:paraId="49B92D4B" w14:textId="73258908" w:rsidR="00CE6613" w:rsidRPr="00582E8D" w:rsidRDefault="00CE6613" w:rsidP="00582E8D">
      <w:pPr>
        <w:pStyle w:val="ListParagraph"/>
        <w:numPr>
          <w:ilvl w:val="1"/>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منهجية الدراسة؛</w:t>
      </w:r>
    </w:p>
    <w:p w14:paraId="600B64FE" w14:textId="537E36D7" w:rsidR="00CE6613" w:rsidRPr="00582E8D" w:rsidRDefault="00CE6613" w:rsidP="00582E8D">
      <w:pPr>
        <w:pStyle w:val="ListParagraph"/>
        <w:numPr>
          <w:ilvl w:val="1"/>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نتائج الدراسة؛</w:t>
      </w:r>
    </w:p>
    <w:p w14:paraId="302E60CE" w14:textId="0206F5B7" w:rsidR="00CE6613" w:rsidRPr="00582E8D" w:rsidRDefault="00CE6613" w:rsidP="00582E8D">
      <w:pPr>
        <w:pStyle w:val="ListParagraph"/>
        <w:numPr>
          <w:ilvl w:val="1"/>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خاتمة الدراسة</w:t>
      </w:r>
      <w:r w:rsidRPr="00582E8D">
        <w:rPr>
          <w:rFonts w:ascii="Traditional Arabic" w:eastAsia="Times New Roman" w:hAnsi="Traditional Arabic" w:cs="Traditional Arabic"/>
          <w:b/>
          <w:sz w:val="32"/>
          <w:szCs w:val="32"/>
          <w:lang w:val="en-US"/>
        </w:rPr>
        <w:t>.</w:t>
      </w:r>
    </w:p>
    <w:p w14:paraId="7E449453" w14:textId="23ED6ABF"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 xml:space="preserve">يجب ألا يزيد الملخّص على </w:t>
      </w:r>
      <w:r w:rsidRPr="00582E8D">
        <w:rPr>
          <w:rFonts w:ascii="Traditional Arabic" w:eastAsia="Times New Roman" w:hAnsi="Traditional Arabic" w:cs="Traditional Arabic"/>
          <w:b/>
          <w:bCs/>
          <w:sz w:val="32"/>
          <w:szCs w:val="32"/>
          <w:lang w:val="en-US"/>
        </w:rPr>
        <w:t xml:space="preserve">250 </w:t>
      </w:r>
      <w:r w:rsidRPr="00582E8D">
        <w:rPr>
          <w:rFonts w:ascii="Traditional Arabic" w:eastAsia="Times New Roman" w:hAnsi="Traditional Arabic" w:cs="Traditional Arabic"/>
          <w:b/>
          <w:bCs/>
          <w:sz w:val="32"/>
          <w:szCs w:val="32"/>
          <w:rtl/>
        </w:rPr>
        <w:t>كلمة</w:t>
      </w:r>
      <w:r w:rsidRPr="00582E8D">
        <w:rPr>
          <w:rFonts w:ascii="Traditional Arabic" w:eastAsia="Times New Roman" w:hAnsi="Traditional Arabic" w:cs="Traditional Arabic"/>
          <w:b/>
          <w:sz w:val="32"/>
          <w:szCs w:val="32"/>
          <w:lang w:val="en-US"/>
        </w:rPr>
        <w:t>.</w:t>
      </w:r>
    </w:p>
    <w:p w14:paraId="27FB3E06" w14:textId="479B0685" w:rsidR="00CE6613" w:rsidRPr="00582E8D" w:rsidRDefault="00BF75CA"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hint="cs"/>
          <w:b/>
          <w:sz w:val="32"/>
          <w:szCs w:val="32"/>
          <w:rtl/>
          <w:lang w:bidi="ar-EG"/>
        </w:rPr>
        <w:t>ت</w:t>
      </w:r>
      <w:r w:rsidR="00CE6613" w:rsidRPr="00582E8D">
        <w:rPr>
          <w:rFonts w:ascii="Traditional Arabic" w:eastAsia="Times New Roman" w:hAnsi="Traditional Arabic" w:cs="Traditional Arabic"/>
          <w:b/>
          <w:sz w:val="32"/>
          <w:szCs w:val="32"/>
          <w:rtl/>
        </w:rPr>
        <w:t xml:space="preserve">جوز كتابة الملخّص باللغة </w:t>
      </w:r>
      <w:r w:rsidR="00CE6613" w:rsidRPr="00582E8D">
        <w:rPr>
          <w:rFonts w:ascii="Traditional Arabic" w:eastAsia="Times New Roman" w:hAnsi="Traditional Arabic" w:cs="Traditional Arabic" w:hint="cs"/>
          <w:bCs/>
          <w:sz w:val="32"/>
          <w:szCs w:val="32"/>
          <w:rtl/>
          <w:lang w:bidi="ar-EG"/>
        </w:rPr>
        <w:t>العربية</w:t>
      </w:r>
      <w:r w:rsidR="00CE6613" w:rsidRPr="00582E8D">
        <w:rPr>
          <w:rFonts w:ascii="Traditional Arabic" w:eastAsia="Times New Roman" w:hAnsi="Traditional Arabic" w:cs="Traditional Arabic" w:hint="cs"/>
          <w:b/>
          <w:sz w:val="32"/>
          <w:szCs w:val="32"/>
          <w:rtl/>
          <w:lang w:bidi="ar-EG"/>
        </w:rPr>
        <w:t xml:space="preserve"> أ</w:t>
      </w:r>
      <w:r w:rsidR="00CE6613" w:rsidRPr="00582E8D">
        <w:rPr>
          <w:rFonts w:ascii="Traditional Arabic" w:eastAsia="Times New Roman" w:hAnsi="Traditional Arabic" w:cs="Traditional Arabic" w:hint="eastAsia"/>
          <w:b/>
          <w:sz w:val="32"/>
          <w:szCs w:val="32"/>
          <w:rtl/>
          <w:lang w:bidi="ar-EG"/>
        </w:rPr>
        <w:t>و</w:t>
      </w:r>
      <w:r w:rsidR="00CE6613" w:rsidRPr="00582E8D">
        <w:rPr>
          <w:rFonts w:ascii="Traditional Arabic" w:eastAsia="Times New Roman" w:hAnsi="Traditional Arabic" w:cs="Traditional Arabic" w:hint="cs"/>
          <w:b/>
          <w:sz w:val="32"/>
          <w:szCs w:val="32"/>
          <w:rtl/>
          <w:lang w:bidi="ar-EG"/>
        </w:rPr>
        <w:t xml:space="preserve"> </w:t>
      </w:r>
      <w:r w:rsidR="00CE6613" w:rsidRPr="00582E8D">
        <w:rPr>
          <w:rFonts w:ascii="Traditional Arabic" w:eastAsia="Times New Roman" w:hAnsi="Traditional Arabic" w:cs="Traditional Arabic"/>
          <w:b/>
          <w:bCs/>
          <w:sz w:val="32"/>
          <w:szCs w:val="32"/>
          <w:rtl/>
        </w:rPr>
        <w:t>الملايوية</w:t>
      </w:r>
      <w:r w:rsidR="00CE6613" w:rsidRPr="00582E8D">
        <w:rPr>
          <w:rFonts w:ascii="Traditional Arabic" w:eastAsia="Times New Roman" w:hAnsi="Traditional Arabic" w:cs="Traditional Arabic"/>
          <w:b/>
          <w:sz w:val="32"/>
          <w:szCs w:val="32"/>
          <w:rtl/>
        </w:rPr>
        <w:t xml:space="preserve"> أو </w:t>
      </w:r>
      <w:r w:rsidR="00CE6613" w:rsidRPr="00582E8D">
        <w:rPr>
          <w:rFonts w:ascii="Traditional Arabic" w:eastAsia="Times New Roman" w:hAnsi="Traditional Arabic" w:cs="Traditional Arabic"/>
          <w:b/>
          <w:bCs/>
          <w:sz w:val="32"/>
          <w:szCs w:val="32"/>
          <w:rtl/>
        </w:rPr>
        <w:t>الإنجليز</w:t>
      </w:r>
      <w:r w:rsidR="00CE6613" w:rsidRPr="00582E8D">
        <w:rPr>
          <w:rFonts w:ascii="Traditional Arabic" w:eastAsia="Times New Roman" w:hAnsi="Traditional Arabic" w:cs="Traditional Arabic" w:hint="cs"/>
          <w:b/>
          <w:bCs/>
          <w:sz w:val="32"/>
          <w:szCs w:val="32"/>
          <w:rtl/>
        </w:rPr>
        <w:t>ية</w:t>
      </w:r>
      <w:r w:rsidR="00CE6613" w:rsidRPr="00582E8D">
        <w:rPr>
          <w:rFonts w:ascii="Traditional Arabic" w:eastAsia="Times New Roman" w:hAnsi="Traditional Arabic" w:cs="Traditional Arabic"/>
          <w:b/>
          <w:sz w:val="32"/>
          <w:szCs w:val="32"/>
          <w:lang w:val="en-US"/>
        </w:rPr>
        <w:t>.</w:t>
      </w:r>
    </w:p>
    <w:p w14:paraId="6C87280C" w14:textId="5E7F16FE"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 xml:space="preserve">يجب ألا تزيد </w:t>
      </w:r>
      <w:r w:rsidRPr="00582E8D">
        <w:rPr>
          <w:rFonts w:ascii="Traditional Arabic" w:eastAsia="Times New Roman" w:hAnsi="Traditional Arabic" w:cs="Traditional Arabic"/>
          <w:b/>
          <w:bCs/>
          <w:sz w:val="32"/>
          <w:szCs w:val="32"/>
          <w:rtl/>
        </w:rPr>
        <w:t>الكلمات المفتاحية</w:t>
      </w:r>
      <w:r w:rsidRPr="00582E8D">
        <w:rPr>
          <w:rFonts w:ascii="Traditional Arabic" w:eastAsia="Times New Roman" w:hAnsi="Traditional Arabic" w:cs="Traditional Arabic"/>
          <w:b/>
          <w:sz w:val="32"/>
          <w:szCs w:val="32"/>
          <w:rtl/>
        </w:rPr>
        <w:t xml:space="preserve"> على </w:t>
      </w:r>
      <w:r w:rsidRPr="00582E8D">
        <w:rPr>
          <w:rFonts w:ascii="Traditional Arabic" w:eastAsia="Times New Roman" w:hAnsi="Traditional Arabic" w:cs="Traditional Arabic"/>
          <w:b/>
          <w:bCs/>
          <w:sz w:val="32"/>
          <w:szCs w:val="32"/>
          <w:rtl/>
        </w:rPr>
        <w:t>خمس كلمات</w:t>
      </w:r>
      <w:r w:rsidRPr="00582E8D">
        <w:rPr>
          <w:rFonts w:ascii="Traditional Arabic" w:eastAsia="Times New Roman" w:hAnsi="Traditional Arabic" w:cs="Traditional Arabic"/>
          <w:b/>
          <w:sz w:val="32"/>
          <w:szCs w:val="32"/>
          <w:lang w:val="en-US"/>
        </w:rPr>
        <w:t>.</w:t>
      </w:r>
    </w:p>
    <w:p w14:paraId="18183339" w14:textId="217AC599" w:rsidR="00CE6613" w:rsidRPr="00582E8D" w:rsidRDefault="00CE6613" w:rsidP="00582E8D">
      <w:pPr>
        <w:pStyle w:val="ListParagraph"/>
        <w:numPr>
          <w:ilvl w:val="0"/>
          <w:numId w:val="10"/>
        </w:numPr>
        <w:bidi/>
        <w:spacing w:line="0" w:lineRule="atLeast"/>
        <w:jc w:val="both"/>
        <w:rPr>
          <w:rFonts w:ascii="Traditional Arabic" w:eastAsia="Times New Roman" w:hAnsi="Traditional Arabic" w:cs="Traditional Arabic"/>
          <w:b/>
          <w:sz w:val="32"/>
          <w:szCs w:val="32"/>
          <w:lang w:val="en-US"/>
        </w:rPr>
      </w:pPr>
      <w:r w:rsidRPr="00582E8D">
        <w:rPr>
          <w:rFonts w:ascii="Traditional Arabic" w:eastAsia="Times New Roman" w:hAnsi="Traditional Arabic" w:cs="Traditional Arabic"/>
          <w:b/>
          <w:sz w:val="32"/>
          <w:szCs w:val="32"/>
          <w:rtl/>
        </w:rPr>
        <w:t xml:space="preserve">يُرجى الالتزام بصيغة الملخّص واستعمال </w:t>
      </w:r>
      <w:r w:rsidRPr="00582E8D">
        <w:rPr>
          <w:rFonts w:ascii="Traditional Arabic" w:eastAsia="Times New Roman" w:hAnsi="Traditional Arabic" w:cs="Traditional Arabic"/>
          <w:b/>
          <w:bCs/>
          <w:sz w:val="32"/>
          <w:szCs w:val="32"/>
          <w:rtl/>
        </w:rPr>
        <w:t>النموذج المرفق</w:t>
      </w:r>
      <w:r w:rsidRPr="00582E8D">
        <w:rPr>
          <w:rFonts w:ascii="Traditional Arabic" w:eastAsia="Times New Roman" w:hAnsi="Traditional Arabic" w:cs="Traditional Arabic"/>
          <w:b/>
          <w:sz w:val="32"/>
          <w:szCs w:val="32"/>
          <w:lang w:val="en-US"/>
        </w:rPr>
        <w:t>.</w:t>
      </w:r>
    </w:p>
    <w:p w14:paraId="55E75D0A" w14:textId="77777777" w:rsidR="00582E8D" w:rsidRDefault="00582E8D" w:rsidP="00582E8D">
      <w:pPr>
        <w:bidi/>
        <w:spacing w:line="0" w:lineRule="atLeast"/>
        <w:ind w:left="360"/>
        <w:jc w:val="both"/>
        <w:rPr>
          <w:rFonts w:ascii="Traditional Arabic" w:eastAsia="Times New Roman" w:hAnsi="Traditional Arabic" w:cs="Traditional Arabic"/>
          <w:b/>
          <w:sz w:val="32"/>
          <w:szCs w:val="32"/>
          <w:lang w:val="en-US"/>
        </w:rPr>
      </w:pPr>
    </w:p>
    <w:p w14:paraId="7371C3AE" w14:textId="2A6A951E" w:rsidR="00CE6613" w:rsidRPr="00582E8D" w:rsidRDefault="00CE6613" w:rsidP="00582E8D">
      <w:pPr>
        <w:bidi/>
        <w:spacing w:line="0" w:lineRule="atLeast"/>
        <w:ind w:left="360"/>
        <w:jc w:val="both"/>
        <w:rPr>
          <w:rFonts w:ascii="Traditional Arabic" w:eastAsia="Times New Roman" w:hAnsi="Traditional Arabic" w:cs="Traditional Arabic"/>
          <w:bCs/>
          <w:color w:val="EE0000"/>
          <w:sz w:val="32"/>
          <w:szCs w:val="32"/>
          <w:lang w:val="en-US"/>
        </w:rPr>
      </w:pPr>
      <w:r w:rsidRPr="00582E8D">
        <w:rPr>
          <w:rFonts w:ascii="Traditional Arabic" w:eastAsia="Times New Roman" w:hAnsi="Traditional Arabic" w:cs="Traditional Arabic"/>
          <w:bCs/>
          <w:color w:val="EE0000"/>
          <w:sz w:val="32"/>
          <w:szCs w:val="32"/>
          <w:lang w:val="en-US"/>
        </w:rPr>
        <w:t xml:space="preserve">*** </w:t>
      </w:r>
      <w:r w:rsidRPr="00582E8D">
        <w:rPr>
          <w:rFonts w:ascii="Traditional Arabic" w:eastAsia="Times New Roman" w:hAnsi="Traditional Arabic" w:cs="Traditional Arabic"/>
          <w:bCs/>
          <w:color w:val="EE0000"/>
          <w:sz w:val="32"/>
          <w:szCs w:val="32"/>
          <w:rtl/>
        </w:rPr>
        <w:t>يُرجى الرجوع إلى المثال المرفق</w:t>
      </w:r>
      <w:r w:rsidRPr="00582E8D">
        <w:rPr>
          <w:rFonts w:ascii="Traditional Arabic" w:eastAsia="Times New Roman" w:hAnsi="Traditional Arabic" w:cs="Traditional Arabic"/>
          <w:bCs/>
          <w:color w:val="EE0000"/>
          <w:sz w:val="32"/>
          <w:szCs w:val="32"/>
          <w:lang w:val="en-US"/>
        </w:rPr>
        <w:t>.</w:t>
      </w:r>
    </w:p>
    <w:p w14:paraId="33BF3E8D" w14:textId="77777777" w:rsidR="00B06FE9" w:rsidRDefault="00B06FE9" w:rsidP="000A6CD6">
      <w:pPr>
        <w:spacing w:line="0" w:lineRule="atLeast"/>
        <w:jc w:val="center"/>
        <w:rPr>
          <w:rFonts w:ascii="Times New Roman" w:eastAsia="Times New Roman" w:hAnsi="Times New Roman"/>
          <w:b/>
          <w:sz w:val="24"/>
        </w:rPr>
        <w:sectPr w:rsidR="00B06FE9" w:rsidSect="00032274">
          <w:headerReference w:type="default" r:id="rId8"/>
          <w:pgSz w:w="12240" w:h="15840"/>
          <w:pgMar w:top="1440" w:right="1440" w:bottom="1440" w:left="1440" w:header="851" w:footer="851" w:gutter="0"/>
          <w:cols w:space="0" w:equalWidth="0">
            <w:col w:w="9360"/>
          </w:cols>
          <w:docGrid w:linePitch="360"/>
        </w:sectPr>
      </w:pPr>
      <w:r>
        <w:rPr>
          <w:rFonts w:ascii="Times New Roman" w:eastAsia="Times New Roman" w:hAnsi="Times New Roman"/>
          <w:b/>
          <w:sz w:val="24"/>
        </w:rPr>
        <w:br w:type="page"/>
      </w:r>
    </w:p>
    <w:p w14:paraId="4B2F6B48" w14:textId="77777777" w:rsidR="006B6D8C" w:rsidRPr="00ED2539" w:rsidRDefault="006B6D8C" w:rsidP="006B6D8C">
      <w:pPr>
        <w:bidi/>
        <w:jc w:val="center"/>
        <w:rPr>
          <w:rFonts w:asciiTheme="majorBidi" w:hAnsiTheme="majorBidi" w:cstheme="majorBidi"/>
          <w:sz w:val="36"/>
          <w:szCs w:val="36"/>
          <w:rtl/>
          <w:lang w:bidi="ar-EG"/>
        </w:rPr>
      </w:pPr>
      <w:r>
        <w:rPr>
          <w:rFonts w:ascii="Traditional Arabic" w:hAnsi="Traditional Arabic" w:cs="Traditional Arabic" w:hint="cs"/>
          <w:b/>
          <w:bCs/>
          <w:sz w:val="36"/>
          <w:szCs w:val="36"/>
          <w:rtl/>
          <w:lang w:bidi="ar-EG"/>
        </w:rPr>
        <w:lastRenderedPageBreak/>
        <w:t>المقاربة التداولية في تحليل الحوارات القرآنية:بين المتبينين والمنتقدين</w:t>
      </w:r>
    </w:p>
    <w:p w14:paraId="355FC35E" w14:textId="77777777" w:rsidR="000A6CD6" w:rsidRDefault="000A6CD6" w:rsidP="000A6CD6">
      <w:pPr>
        <w:spacing w:line="319" w:lineRule="exact"/>
        <w:rPr>
          <w:rFonts w:ascii="Times New Roman" w:eastAsia="Times New Roman" w:hAnsi="Times New Roman"/>
          <w:sz w:val="24"/>
          <w:lang w:bidi="ar-EG"/>
        </w:rPr>
      </w:pPr>
    </w:p>
    <w:p w14:paraId="35D6AB57" w14:textId="5A2479D5" w:rsidR="000A6CD6" w:rsidRPr="006B6D8C" w:rsidRDefault="006B6D8C" w:rsidP="000A6CD6">
      <w:pPr>
        <w:spacing w:line="0" w:lineRule="atLeast"/>
        <w:jc w:val="center"/>
        <w:rPr>
          <w:rFonts w:ascii="Times New Roman" w:eastAsia="Times New Roman" w:hAnsi="Times New Roman"/>
          <w:sz w:val="24"/>
          <w:lang w:val="en-US"/>
        </w:rPr>
      </w:pPr>
      <w:r>
        <w:rPr>
          <w:rFonts w:ascii="Times New Roman" w:eastAsia="Times New Roman" w:hAnsi="Times New Roman"/>
          <w:sz w:val="24"/>
          <w:lang w:val="en-US"/>
        </w:rPr>
        <w:t>Muhammad Hashimee</w:t>
      </w:r>
    </w:p>
    <w:p w14:paraId="0777F94F" w14:textId="77777777" w:rsidR="000A6CD6" w:rsidRDefault="000A6CD6" w:rsidP="000A6CD6">
      <w:pPr>
        <w:spacing w:line="43" w:lineRule="exact"/>
        <w:rPr>
          <w:rFonts w:ascii="Times New Roman" w:eastAsia="Times New Roman" w:hAnsi="Times New Roman"/>
          <w:sz w:val="24"/>
        </w:rPr>
      </w:pPr>
    </w:p>
    <w:p w14:paraId="20A3F0DE" w14:textId="0128EAC9" w:rsidR="000A6CD6" w:rsidRDefault="006B6D8C" w:rsidP="000A6CD6">
      <w:pPr>
        <w:spacing w:line="0" w:lineRule="atLeast"/>
        <w:jc w:val="center"/>
        <w:rPr>
          <w:rFonts w:ascii="Times New Roman" w:eastAsia="Times New Roman" w:hAnsi="Times New Roman"/>
          <w:sz w:val="24"/>
        </w:rPr>
      </w:pPr>
      <w:r>
        <w:rPr>
          <w:rFonts w:ascii="Times New Roman" w:eastAsia="Times New Roman" w:hAnsi="Times New Roman"/>
          <w:sz w:val="24"/>
        </w:rPr>
        <w:t>Universiti Islam Selangor</w:t>
      </w:r>
    </w:p>
    <w:p w14:paraId="4C5C2BB8" w14:textId="77777777" w:rsidR="000A6CD6" w:rsidRDefault="000A6CD6" w:rsidP="000A6CD6">
      <w:pPr>
        <w:spacing w:line="41" w:lineRule="exact"/>
        <w:rPr>
          <w:rFonts w:ascii="Times New Roman" w:eastAsia="Times New Roman" w:hAnsi="Times New Roman"/>
          <w:sz w:val="24"/>
        </w:rPr>
      </w:pPr>
    </w:p>
    <w:p w14:paraId="07061F18" w14:textId="7E524351" w:rsidR="000A6CD6" w:rsidRDefault="000A6CD6" w:rsidP="000A6CD6">
      <w:pPr>
        <w:spacing w:line="0" w:lineRule="atLeast"/>
        <w:jc w:val="center"/>
        <w:rPr>
          <w:rFonts w:ascii="Times New Roman" w:eastAsia="Times New Roman" w:hAnsi="Times New Roman"/>
          <w:color w:val="0000FF"/>
          <w:sz w:val="24"/>
          <w:u w:val="single"/>
        </w:rPr>
      </w:pPr>
      <w:proofErr w:type="gramStart"/>
      <w:r>
        <w:rPr>
          <w:rFonts w:ascii="Times New Roman" w:eastAsia="Times New Roman" w:hAnsi="Times New Roman"/>
          <w:sz w:val="24"/>
        </w:rPr>
        <w:t>Email:</w:t>
      </w:r>
      <w:r w:rsidR="006B6D8C">
        <w:rPr>
          <w:rFonts w:ascii="Times New Roman" w:eastAsia="Times New Roman" w:hAnsi="Times New Roman"/>
          <w:color w:val="0000FF"/>
          <w:sz w:val="24"/>
          <w:u w:val="single"/>
        </w:rPr>
        <w:t>muhammad@uis.edu.my</w:t>
      </w:r>
      <w:proofErr w:type="gramEnd"/>
    </w:p>
    <w:p w14:paraId="10E388C1" w14:textId="77777777" w:rsidR="000A6CD6" w:rsidRDefault="000A6CD6" w:rsidP="000A6CD6">
      <w:pPr>
        <w:spacing w:line="358" w:lineRule="exact"/>
        <w:rPr>
          <w:rFonts w:ascii="Times New Roman" w:eastAsia="Times New Roman" w:hAnsi="Times New Roman"/>
          <w:sz w:val="24"/>
        </w:rPr>
      </w:pPr>
    </w:p>
    <w:p w14:paraId="04020DF6" w14:textId="188CB10B" w:rsidR="000A6CD6" w:rsidRDefault="006B6D8C" w:rsidP="000A6CD6">
      <w:pPr>
        <w:spacing w:line="0" w:lineRule="atLeast"/>
        <w:jc w:val="center"/>
        <w:rPr>
          <w:rFonts w:ascii="Times New Roman" w:eastAsia="Times New Roman" w:hAnsi="Times New Roman"/>
          <w:sz w:val="24"/>
        </w:rPr>
      </w:pPr>
      <w:r>
        <w:rPr>
          <w:rFonts w:ascii="Times New Roman" w:eastAsia="Times New Roman" w:hAnsi="Times New Roman"/>
          <w:sz w:val="24"/>
        </w:rPr>
        <w:t>Azlan Shaiful Baharum</w:t>
      </w:r>
    </w:p>
    <w:p w14:paraId="5DDE5288" w14:textId="77777777" w:rsidR="000A6CD6" w:rsidRDefault="000A6CD6" w:rsidP="000A6CD6">
      <w:pPr>
        <w:spacing w:line="41" w:lineRule="exact"/>
        <w:rPr>
          <w:rFonts w:ascii="Times New Roman" w:eastAsia="Times New Roman" w:hAnsi="Times New Roman"/>
          <w:sz w:val="24"/>
        </w:rPr>
      </w:pPr>
    </w:p>
    <w:p w14:paraId="35112624" w14:textId="6117DE1F" w:rsidR="000A6CD6" w:rsidRDefault="006B6D8C" w:rsidP="000A6CD6">
      <w:pPr>
        <w:spacing w:line="0" w:lineRule="atLeast"/>
        <w:jc w:val="center"/>
        <w:rPr>
          <w:rFonts w:ascii="Times New Roman" w:eastAsia="Times New Roman" w:hAnsi="Times New Roman"/>
          <w:sz w:val="24"/>
        </w:rPr>
      </w:pPr>
      <w:r>
        <w:rPr>
          <w:rFonts w:ascii="Times New Roman" w:eastAsia="Times New Roman" w:hAnsi="Times New Roman"/>
          <w:sz w:val="24"/>
        </w:rPr>
        <w:t>Universiti Sains Islam Malaysia</w:t>
      </w:r>
    </w:p>
    <w:p w14:paraId="6DF0FAC8" w14:textId="77777777" w:rsidR="000A6CD6" w:rsidRDefault="000A6CD6" w:rsidP="000A6CD6">
      <w:pPr>
        <w:spacing w:line="43" w:lineRule="exact"/>
        <w:rPr>
          <w:rFonts w:ascii="Times New Roman" w:eastAsia="Times New Roman" w:hAnsi="Times New Roman"/>
          <w:sz w:val="24"/>
        </w:rPr>
      </w:pPr>
    </w:p>
    <w:p w14:paraId="50D1C457" w14:textId="77378882" w:rsidR="000A6CD6" w:rsidRDefault="000A6CD6" w:rsidP="000A6CD6">
      <w:pPr>
        <w:spacing w:line="0" w:lineRule="atLeast"/>
        <w:jc w:val="center"/>
        <w:rPr>
          <w:rFonts w:ascii="Times New Roman" w:eastAsia="Times New Roman" w:hAnsi="Times New Roman"/>
          <w:color w:val="0000FF"/>
          <w:sz w:val="24"/>
          <w:u w:val="single"/>
        </w:rPr>
      </w:pPr>
      <w:r>
        <w:rPr>
          <w:rFonts w:ascii="Times New Roman" w:eastAsia="Times New Roman" w:hAnsi="Times New Roman"/>
          <w:sz w:val="24"/>
        </w:rPr>
        <w:t>E-mail:</w:t>
      </w:r>
      <w:r w:rsidR="006B6D8C">
        <w:rPr>
          <w:rFonts w:ascii="Times New Roman" w:eastAsia="Times New Roman" w:hAnsi="Times New Roman"/>
          <w:color w:val="0000FF"/>
          <w:sz w:val="24"/>
          <w:u w:val="single"/>
        </w:rPr>
        <w:t xml:space="preserve"> </w:t>
      </w:r>
      <w:hyperlink r:id="rId9" w:history="1">
        <w:r w:rsidR="006B6D8C">
          <w:rPr>
            <w:rStyle w:val="Hyperlink"/>
            <w:rFonts w:ascii="Times New Roman" w:eastAsia="Times New Roman" w:hAnsi="Times New Roman"/>
            <w:sz w:val="24"/>
          </w:rPr>
          <w:t>a</w:t>
        </w:r>
      </w:hyperlink>
      <w:r w:rsidR="006B6D8C">
        <w:rPr>
          <w:rFonts w:ascii="Times New Roman" w:eastAsia="Times New Roman" w:hAnsi="Times New Roman"/>
          <w:color w:val="0000FF"/>
          <w:sz w:val="24"/>
          <w:u w:val="single"/>
        </w:rPr>
        <w:t>zlanarab@usim.edu.my</w:t>
      </w:r>
    </w:p>
    <w:p w14:paraId="1A6616D9" w14:textId="77777777" w:rsidR="000A6CD6" w:rsidRDefault="000A6CD6" w:rsidP="000A6CD6">
      <w:pPr>
        <w:spacing w:line="358" w:lineRule="exact"/>
        <w:rPr>
          <w:rFonts w:ascii="Times New Roman" w:eastAsia="Times New Roman" w:hAnsi="Times New Roman"/>
          <w:sz w:val="24"/>
        </w:rPr>
      </w:pPr>
    </w:p>
    <w:p w14:paraId="5987431F" w14:textId="1DADF121" w:rsidR="000A6CD6" w:rsidRDefault="006B6D8C" w:rsidP="000A6CD6">
      <w:pPr>
        <w:spacing w:line="0" w:lineRule="atLeast"/>
        <w:jc w:val="center"/>
        <w:rPr>
          <w:rFonts w:ascii="Times New Roman" w:eastAsia="Times New Roman" w:hAnsi="Times New Roman"/>
          <w:sz w:val="24"/>
        </w:rPr>
      </w:pPr>
      <w:r>
        <w:rPr>
          <w:rFonts w:ascii="Times New Roman" w:eastAsia="Times New Roman" w:hAnsi="Times New Roman"/>
          <w:sz w:val="24"/>
        </w:rPr>
        <w:t>Abdul Azim Mohamad Isa</w:t>
      </w:r>
    </w:p>
    <w:p w14:paraId="3526D042" w14:textId="77777777" w:rsidR="000A6CD6" w:rsidRDefault="000A6CD6" w:rsidP="000A6CD6">
      <w:pPr>
        <w:spacing w:line="41" w:lineRule="exact"/>
        <w:rPr>
          <w:rFonts w:ascii="Times New Roman" w:eastAsia="Times New Roman" w:hAnsi="Times New Roman"/>
          <w:sz w:val="24"/>
        </w:rPr>
      </w:pPr>
    </w:p>
    <w:p w14:paraId="2D103F35" w14:textId="29EA83B4" w:rsidR="000A6CD6" w:rsidRDefault="006B6D8C" w:rsidP="000A6CD6">
      <w:pPr>
        <w:spacing w:line="0" w:lineRule="atLeast"/>
        <w:jc w:val="center"/>
        <w:rPr>
          <w:rFonts w:ascii="Times New Roman" w:eastAsia="Times New Roman" w:hAnsi="Times New Roman"/>
          <w:sz w:val="24"/>
        </w:rPr>
      </w:pPr>
      <w:r>
        <w:rPr>
          <w:rFonts w:ascii="Times New Roman" w:eastAsia="Times New Roman" w:hAnsi="Times New Roman"/>
          <w:sz w:val="24"/>
        </w:rPr>
        <w:t>Unibersiti Teknologi MARA</w:t>
      </w:r>
    </w:p>
    <w:p w14:paraId="635595D0" w14:textId="77777777" w:rsidR="000A6CD6" w:rsidRDefault="000A6CD6" w:rsidP="000A6CD6">
      <w:pPr>
        <w:spacing w:line="43" w:lineRule="exact"/>
        <w:rPr>
          <w:rFonts w:ascii="Times New Roman" w:eastAsia="Times New Roman" w:hAnsi="Times New Roman"/>
          <w:sz w:val="24"/>
        </w:rPr>
      </w:pPr>
    </w:p>
    <w:p w14:paraId="0A6B138A" w14:textId="1E2FC387" w:rsidR="000A6CD6" w:rsidRDefault="000A6CD6" w:rsidP="00C32159">
      <w:pPr>
        <w:spacing w:line="0" w:lineRule="atLeast"/>
        <w:jc w:val="center"/>
      </w:pPr>
      <w:proofErr w:type="gramStart"/>
      <w:r>
        <w:rPr>
          <w:rFonts w:ascii="Times New Roman" w:eastAsia="Times New Roman" w:hAnsi="Times New Roman"/>
          <w:sz w:val="24"/>
        </w:rPr>
        <w:t>E-mail:</w:t>
      </w:r>
      <w:r w:rsidR="006B6D8C">
        <w:rPr>
          <w:rFonts w:ascii="Times New Roman" w:eastAsia="Times New Roman" w:hAnsi="Times New Roman"/>
          <w:color w:val="0000FF"/>
          <w:sz w:val="24"/>
          <w:u w:val="single"/>
        </w:rPr>
        <w:t>abdulazim</w:t>
      </w:r>
      <w:proofErr w:type="gramEnd"/>
      <w:r w:rsidR="006B6D8C">
        <w:rPr>
          <w:rFonts w:ascii="Times New Roman" w:eastAsia="Times New Roman" w:hAnsi="Times New Roman"/>
          <w:color w:val="0000FF"/>
          <w:sz w:val="24"/>
          <w:u w:val="single"/>
        </w:rPr>
        <w:t>@</w:t>
      </w:r>
      <w:proofErr w:type="gramStart"/>
      <w:r w:rsidR="006B6D8C">
        <w:rPr>
          <w:rFonts w:ascii="Times New Roman" w:eastAsia="Times New Roman" w:hAnsi="Times New Roman"/>
          <w:color w:val="0000FF"/>
          <w:sz w:val="24"/>
          <w:u w:val="single"/>
        </w:rPr>
        <w:t>uitm,edu.my</w:t>
      </w:r>
      <w:proofErr w:type="gramEnd"/>
    </w:p>
    <w:p w14:paraId="13C91F25" w14:textId="77777777" w:rsidR="00C32159" w:rsidRDefault="00C32159" w:rsidP="00C32159">
      <w:pPr>
        <w:spacing w:line="0" w:lineRule="atLeast"/>
        <w:jc w:val="center"/>
      </w:pPr>
    </w:p>
    <w:p w14:paraId="4BBFA6D2" w14:textId="77777777" w:rsidR="00C32159" w:rsidRPr="00C32159" w:rsidRDefault="00C32159" w:rsidP="00C32159">
      <w:pPr>
        <w:spacing w:line="0" w:lineRule="atLeast"/>
        <w:jc w:val="center"/>
      </w:pPr>
    </w:p>
    <w:p w14:paraId="7A9C7720" w14:textId="77777777" w:rsidR="006B6D8C" w:rsidRPr="006B6D8C" w:rsidRDefault="006B6D8C" w:rsidP="006B6D8C">
      <w:pPr>
        <w:bidi/>
        <w:jc w:val="center"/>
        <w:rPr>
          <w:rFonts w:ascii="Traditional Arabic" w:hAnsi="Traditional Arabic" w:cs="Traditional Arabic"/>
          <w:b/>
          <w:bCs/>
          <w:sz w:val="36"/>
          <w:szCs w:val="36"/>
          <w:rtl/>
          <w:lang w:bidi="ar-EG"/>
        </w:rPr>
      </w:pPr>
      <w:r w:rsidRPr="006B6D8C">
        <w:rPr>
          <w:rFonts w:ascii="Traditional Arabic" w:hAnsi="Traditional Arabic" w:cs="Traditional Arabic"/>
          <w:b/>
          <w:bCs/>
          <w:sz w:val="36"/>
          <w:szCs w:val="36"/>
          <w:rtl/>
          <w:lang w:bidi="ar-EG"/>
        </w:rPr>
        <w:t>ملخص البحث</w:t>
      </w:r>
    </w:p>
    <w:p w14:paraId="54DA024A" w14:textId="77777777" w:rsidR="000A6CD6" w:rsidRPr="006B6D8C" w:rsidRDefault="000A6CD6" w:rsidP="000A6CD6">
      <w:pPr>
        <w:spacing w:line="353" w:lineRule="exact"/>
        <w:rPr>
          <w:rFonts w:ascii="Times New Roman" w:eastAsia="Times New Roman" w:hAnsi="Times New Roman"/>
          <w:sz w:val="24"/>
          <w:lang w:val="en-US"/>
        </w:rPr>
      </w:pPr>
    </w:p>
    <w:p w14:paraId="4B04C9D1" w14:textId="77777777" w:rsidR="006B6D8C" w:rsidRDefault="006B6D8C" w:rsidP="006B6D8C">
      <w:pPr>
        <w:bidi/>
        <w:jc w:val="both"/>
        <w:rPr>
          <w:rFonts w:ascii="Traditional Arabic" w:hAnsi="Traditional Arabic" w:cs="Traditional Arabic"/>
          <w:sz w:val="32"/>
          <w:szCs w:val="32"/>
          <w:lang w:bidi="ar-EG"/>
        </w:rPr>
      </w:pPr>
      <w:r w:rsidRPr="00D715ED">
        <w:rPr>
          <w:rFonts w:ascii="Traditional Arabic" w:hAnsi="Traditional Arabic" w:cs="Traditional Arabic" w:hint="cs"/>
          <w:sz w:val="32"/>
          <w:szCs w:val="32"/>
          <w:rtl/>
          <w:lang w:bidi="ar-EG"/>
        </w:rPr>
        <w:t>تهدف هذه الدراسة</w:t>
      </w:r>
      <w:r>
        <w:rPr>
          <w:rFonts w:ascii="Traditional Arabic" w:hAnsi="Traditional Arabic" w:cs="Traditional Arabic" w:hint="cs"/>
          <w:sz w:val="32"/>
          <w:szCs w:val="32"/>
          <w:rtl/>
          <w:lang w:bidi="ar-EG"/>
        </w:rPr>
        <w:t xml:space="preserve"> إلى إبراز المقاربة التداولية في تحليل الحوارات القرآنية وذلك في ظل تعدد المقاربات اللغوية والتفسيرية التي تناولت الحوارات القرآنية كمحور رئيسي لها. وهذا الوضع لا يستدعي أي غرابة إذ إن النصوص القرآنية ومعانيها تعد أقدس الكلام وأكثرها ثراء من حيث المخرجات والنتائج سواء على صعيد المباني أو المعاني.</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تقدم المقاربة التداولية إطارها التحليلي من خلال النظر إلى الحوارات القرآنية بناء على سياقها التواصلي في محاولة إدراك حقائق المعاني على ما هي عليه داخل قالب تفاعلي بين أطراف المتحاورين من المتكلم والمستمع. من خلال هذه المحاور، انطلقت جهود عديدة في تبني المقاربة التداولية عبر البحوث والدراسات التي تنظر إلى الحوارات القرآنية ومعانيها كتحصيل حاصل في تبادلات الكلام بين الأطراف المعنية فيها. الخطوة التي يراها المؤيدون للمقاربة التداولية على أنها من قبيل المحاولات الحديثة في دراسة النصوص القرآنية ومعانيها. وفي الآن ذاته أثارت هذه الحركة انطباعات مختلفة بين المشككين والمنتقدين لتطبيق المقاربة التداولية في التعامل مع الحوارات القرآنية، الخطوة التي يراها أصحاب هذا الاتجاه على أنها محاولة تقديم صبغة غربية في النظر إلى الحوارات القرآنية دون تقديم جديد في المعاني على غرار ما قدمه العلماء والمفسرون. توصلت هذه الدراسة إلى أن المقاربة التداولية تحقق جدارتها في تحليل الحوارات القرآنية من </w:t>
      </w:r>
      <w:r w:rsidRPr="00A66AD7">
        <w:rPr>
          <w:rFonts w:ascii="Traditional Arabic" w:hAnsi="Traditional Arabic" w:cs="Traditional Arabic" w:hint="cs"/>
          <w:sz w:val="32"/>
          <w:szCs w:val="32"/>
          <w:rtl/>
          <w:lang w:bidi="ar-EG"/>
        </w:rPr>
        <w:t>خلال التبني با</w:t>
      </w:r>
      <w:r w:rsidRPr="00A66AD7">
        <w:rPr>
          <w:rFonts w:ascii="Traditional Arabic" w:hAnsi="Traditional Arabic" w:cs="Traditional Arabic"/>
          <w:sz w:val="32"/>
          <w:szCs w:val="32"/>
          <w:rtl/>
          <w:lang w:bidi="ar-EG"/>
        </w:rPr>
        <w:t xml:space="preserve">لفكرة الأساسية التي تنظر إلى القرآن الكريم كالمُرسِل أو المتكلِّم، بينما يُعتبر الناس هم المستقبلون أو المتلقون. </w:t>
      </w:r>
      <w:r w:rsidRPr="00A66AD7">
        <w:rPr>
          <w:rFonts w:ascii="Traditional Arabic" w:hAnsi="Traditional Arabic" w:cs="Traditional Arabic" w:hint="cs"/>
          <w:sz w:val="32"/>
          <w:szCs w:val="32"/>
          <w:rtl/>
          <w:lang w:bidi="ar-EG"/>
        </w:rPr>
        <w:t>وهذا النظر</w:t>
      </w:r>
      <w:r w:rsidRPr="00A66AD7">
        <w:rPr>
          <w:rFonts w:ascii="Traditional Arabic" w:hAnsi="Traditional Arabic" w:cs="Traditional Arabic"/>
          <w:sz w:val="32"/>
          <w:szCs w:val="32"/>
          <w:rtl/>
          <w:lang w:bidi="ar-EG"/>
        </w:rPr>
        <w:t xml:space="preserve"> </w:t>
      </w:r>
      <w:r w:rsidRPr="00A66AD7">
        <w:rPr>
          <w:rFonts w:ascii="Traditional Arabic" w:hAnsi="Traditional Arabic" w:cs="Traditional Arabic" w:hint="cs"/>
          <w:sz w:val="32"/>
          <w:szCs w:val="32"/>
          <w:rtl/>
          <w:lang w:bidi="ar-EG"/>
        </w:rPr>
        <w:t xml:space="preserve">أثبت </w:t>
      </w:r>
      <w:r w:rsidRPr="00A66AD7">
        <w:rPr>
          <w:rFonts w:ascii="Traditional Arabic" w:hAnsi="Traditional Arabic" w:cs="Traditional Arabic"/>
          <w:sz w:val="32"/>
          <w:szCs w:val="32"/>
          <w:rtl/>
          <w:lang w:bidi="ar-EG"/>
        </w:rPr>
        <w:t>بُعد</w:t>
      </w:r>
      <w:r w:rsidRPr="00A66AD7">
        <w:rPr>
          <w:rFonts w:ascii="Traditional Arabic" w:hAnsi="Traditional Arabic" w:cs="Traditional Arabic" w:hint="cs"/>
          <w:sz w:val="32"/>
          <w:szCs w:val="32"/>
          <w:rtl/>
          <w:lang w:bidi="ar-EG"/>
        </w:rPr>
        <w:t>ا</w:t>
      </w:r>
      <w:r w:rsidRPr="00A66AD7">
        <w:rPr>
          <w:rFonts w:ascii="Traditional Arabic" w:hAnsi="Traditional Arabic" w:cs="Traditional Arabic"/>
          <w:sz w:val="32"/>
          <w:szCs w:val="32"/>
          <w:rtl/>
          <w:lang w:bidi="ar-EG"/>
        </w:rPr>
        <w:t xml:space="preserve"> تداولي</w:t>
      </w:r>
      <w:r w:rsidRPr="00A66AD7">
        <w:rPr>
          <w:rFonts w:ascii="Traditional Arabic" w:hAnsi="Traditional Arabic" w:cs="Traditional Arabic" w:hint="cs"/>
          <w:sz w:val="32"/>
          <w:szCs w:val="32"/>
          <w:rtl/>
          <w:lang w:bidi="ar-EG"/>
        </w:rPr>
        <w:t>ا</w:t>
      </w:r>
      <w:r w:rsidRPr="00A66AD7">
        <w:rPr>
          <w:rFonts w:ascii="Traditional Arabic" w:hAnsi="Traditional Arabic" w:cs="Traditional Arabic"/>
          <w:sz w:val="32"/>
          <w:szCs w:val="32"/>
          <w:rtl/>
          <w:lang w:bidi="ar-EG"/>
        </w:rPr>
        <w:t xml:space="preserve"> </w:t>
      </w:r>
      <w:r w:rsidRPr="00A66AD7">
        <w:rPr>
          <w:rFonts w:ascii="Traditional Arabic" w:hAnsi="Traditional Arabic" w:cs="Traditional Arabic" w:hint="cs"/>
          <w:sz w:val="32"/>
          <w:szCs w:val="32"/>
          <w:rtl/>
          <w:lang w:bidi="ar-EG"/>
        </w:rPr>
        <w:t>للقرآن الكريم بشكل عام حيث برر جدوى المقاربة التداولية</w:t>
      </w:r>
      <w:r w:rsidRPr="00A66AD7">
        <w:rPr>
          <w:rFonts w:ascii="Traditional Arabic" w:hAnsi="Traditional Arabic" w:cs="Traditional Arabic"/>
          <w:sz w:val="32"/>
          <w:szCs w:val="32"/>
          <w:rtl/>
          <w:lang w:bidi="ar-EG"/>
        </w:rPr>
        <w:t xml:space="preserve"> </w:t>
      </w:r>
      <w:r w:rsidRPr="00A66AD7">
        <w:rPr>
          <w:rFonts w:ascii="Traditional Arabic" w:hAnsi="Traditional Arabic" w:cs="Traditional Arabic" w:hint="cs"/>
          <w:sz w:val="32"/>
          <w:szCs w:val="32"/>
          <w:rtl/>
          <w:lang w:bidi="ar-EG"/>
        </w:rPr>
        <w:t xml:space="preserve">في </w:t>
      </w:r>
      <w:r w:rsidRPr="00A66AD7">
        <w:rPr>
          <w:rFonts w:ascii="Traditional Arabic" w:hAnsi="Traditional Arabic" w:cs="Traditional Arabic"/>
          <w:sz w:val="32"/>
          <w:szCs w:val="32"/>
          <w:rtl/>
          <w:lang w:bidi="ar-EG"/>
        </w:rPr>
        <w:t>ت</w:t>
      </w:r>
      <w:r w:rsidRPr="00A66AD7">
        <w:rPr>
          <w:rFonts w:ascii="Traditional Arabic" w:hAnsi="Traditional Arabic" w:cs="Traditional Arabic" w:hint="cs"/>
          <w:sz w:val="32"/>
          <w:szCs w:val="32"/>
          <w:rtl/>
          <w:lang w:bidi="ar-EG"/>
        </w:rPr>
        <w:t>حليل</w:t>
      </w:r>
      <w:r w:rsidRPr="00A66AD7">
        <w:rPr>
          <w:rFonts w:ascii="Traditional Arabic" w:hAnsi="Traditional Arabic" w:cs="Traditional Arabic"/>
          <w:sz w:val="32"/>
          <w:szCs w:val="32"/>
          <w:rtl/>
          <w:lang w:bidi="ar-EG"/>
        </w:rPr>
        <w:t xml:space="preserve"> و</w:t>
      </w:r>
      <w:r w:rsidRPr="00A66AD7">
        <w:rPr>
          <w:rFonts w:ascii="Traditional Arabic" w:hAnsi="Traditional Arabic" w:cs="Traditional Arabic" w:hint="cs"/>
          <w:sz w:val="32"/>
          <w:szCs w:val="32"/>
          <w:rtl/>
          <w:lang w:bidi="ar-EG"/>
        </w:rPr>
        <w:t>استيعاب</w:t>
      </w:r>
      <w:r w:rsidRPr="00A66AD7">
        <w:rPr>
          <w:rFonts w:ascii="Traditional Arabic" w:hAnsi="Traditional Arabic" w:cs="Traditional Arabic"/>
          <w:sz w:val="32"/>
          <w:szCs w:val="32"/>
          <w:rtl/>
          <w:lang w:bidi="ar-EG"/>
        </w:rPr>
        <w:t xml:space="preserve"> </w:t>
      </w:r>
      <w:r w:rsidRPr="00A66AD7">
        <w:rPr>
          <w:rFonts w:ascii="Traditional Arabic" w:hAnsi="Traditional Arabic" w:cs="Traditional Arabic" w:hint="cs"/>
          <w:sz w:val="32"/>
          <w:szCs w:val="32"/>
          <w:rtl/>
          <w:lang w:bidi="ar-EG"/>
        </w:rPr>
        <w:t>الحوار</w:t>
      </w:r>
      <w:r>
        <w:rPr>
          <w:rFonts w:ascii="Traditional Arabic" w:hAnsi="Traditional Arabic" w:cs="Traditional Arabic" w:hint="cs"/>
          <w:sz w:val="32"/>
          <w:szCs w:val="32"/>
          <w:rtl/>
          <w:lang w:bidi="ar-EG"/>
        </w:rPr>
        <w:t>ات</w:t>
      </w:r>
      <w:r w:rsidRPr="00A66AD7">
        <w:rPr>
          <w:rFonts w:ascii="Traditional Arabic" w:hAnsi="Traditional Arabic" w:cs="Traditional Arabic" w:hint="cs"/>
          <w:sz w:val="32"/>
          <w:szCs w:val="32"/>
          <w:rtl/>
          <w:lang w:bidi="ar-EG"/>
        </w:rPr>
        <w:t xml:space="preserve"> القرآني</w:t>
      </w:r>
      <w:r>
        <w:rPr>
          <w:rFonts w:ascii="Traditional Arabic" w:hAnsi="Traditional Arabic" w:cs="Traditional Arabic" w:hint="cs"/>
          <w:sz w:val="32"/>
          <w:szCs w:val="32"/>
          <w:rtl/>
          <w:lang w:bidi="ar-EG"/>
        </w:rPr>
        <w:t xml:space="preserve">ة. بينما تمسك المنتقدون لهذه المقاربة بقولهم على محدودية الدراسات التداولية في تقديم الجديد حول المعاني الحوارات القرآنية وافتقارها إلى </w:t>
      </w:r>
      <w:r>
        <w:rPr>
          <w:rFonts w:ascii="Traditional Arabic" w:hAnsi="Traditional Arabic" w:cs="Traditional Arabic" w:hint="cs"/>
          <w:sz w:val="32"/>
          <w:szCs w:val="32"/>
          <w:rtl/>
          <w:lang w:bidi="ar-EG"/>
        </w:rPr>
        <w:lastRenderedPageBreak/>
        <w:t>الالتزامات تجاه التفسيرات التقليدية، مما يستدعي المزيد من المجهودات والدراسات في تحقيق الانسجام بين المفاهيم التداولية والتراث التفسيري.</w:t>
      </w:r>
    </w:p>
    <w:p w14:paraId="4CF1A892" w14:textId="77777777" w:rsidR="006B6D8C" w:rsidRDefault="006B6D8C" w:rsidP="006B6D8C">
      <w:pPr>
        <w:bidi/>
        <w:jc w:val="both"/>
        <w:rPr>
          <w:rFonts w:ascii="Traditional Arabic" w:hAnsi="Traditional Arabic" w:cs="Traditional Arabic"/>
          <w:sz w:val="32"/>
          <w:szCs w:val="32"/>
          <w:rtl/>
          <w:lang w:bidi="ar-EG"/>
        </w:rPr>
      </w:pPr>
    </w:p>
    <w:p w14:paraId="702B5A06" w14:textId="00B32F0E" w:rsidR="003775D5" w:rsidRPr="00BF75CA" w:rsidRDefault="006B6D8C" w:rsidP="006B6D8C">
      <w:pPr>
        <w:bidi/>
        <w:spacing w:line="276" w:lineRule="auto"/>
        <w:jc w:val="both"/>
        <w:rPr>
          <w:rFonts w:ascii="Times New Roman" w:eastAsia="Times New Roman" w:hAnsi="Times New Roman"/>
          <w:i/>
          <w:iCs/>
          <w:sz w:val="24"/>
          <w:szCs w:val="24"/>
          <w:rtl/>
          <w:lang w:bidi="ar-EG"/>
        </w:rPr>
      </w:pPr>
      <w:r w:rsidRPr="00BF75CA">
        <w:rPr>
          <w:rFonts w:ascii="Traditional Arabic" w:hAnsi="Traditional Arabic" w:cs="Traditional Arabic" w:hint="cs"/>
          <w:i/>
          <w:iCs/>
          <w:sz w:val="32"/>
          <w:szCs w:val="32"/>
          <w:rtl/>
          <w:lang w:bidi="ar-EG"/>
        </w:rPr>
        <w:t>الكلمات المفتاحية: القرآن الكريم، التداولية، الحوارات القرآنية، التواصل.</w:t>
      </w:r>
    </w:p>
    <w:sectPr w:rsidR="003775D5" w:rsidRPr="00BF75CA" w:rsidSect="00582E8D">
      <w:type w:val="continuous"/>
      <w:pgSz w:w="12240" w:h="15840"/>
      <w:pgMar w:top="1135" w:right="1440" w:bottom="1440" w:left="1440" w:header="454"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E999" w14:textId="77777777" w:rsidR="005D71A2" w:rsidRDefault="005D71A2" w:rsidP="00B06FE9">
      <w:r>
        <w:separator/>
      </w:r>
    </w:p>
  </w:endnote>
  <w:endnote w:type="continuationSeparator" w:id="0">
    <w:p w14:paraId="2854F387" w14:textId="77777777" w:rsidR="005D71A2" w:rsidRDefault="005D71A2" w:rsidP="00B0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CCEF" w14:textId="77777777" w:rsidR="005D71A2" w:rsidRDefault="005D71A2" w:rsidP="00B06FE9">
      <w:r>
        <w:separator/>
      </w:r>
    </w:p>
  </w:footnote>
  <w:footnote w:type="continuationSeparator" w:id="0">
    <w:p w14:paraId="6456E45D" w14:textId="77777777" w:rsidR="005D71A2" w:rsidRDefault="005D71A2" w:rsidP="00B0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D586" w14:textId="77777777" w:rsidR="00637ADF" w:rsidRPr="00E96481" w:rsidRDefault="00637ADF" w:rsidP="00637ADF">
    <w:pPr>
      <w:pStyle w:val="Topspaceforeditor"/>
      <w:rPr>
        <w:rFonts w:ascii="Century Gothic" w:hAnsi="Century Gothic"/>
        <w:sz w:val="20"/>
        <w:szCs w:val="18"/>
      </w:rPr>
    </w:pPr>
    <w:r w:rsidRPr="00E96481">
      <w:rPr>
        <w:rFonts w:ascii="Century Gothic" w:hAnsi="Century Gothic"/>
        <w:sz w:val="20"/>
      </w:rPr>
      <w:t>E-Prosiding Persidangan Antarabangsa Sains Sosial &amp; Kemanusiaan kali ke-</w:t>
    </w:r>
    <w:r>
      <w:rPr>
        <w:rFonts w:ascii="Century Gothic" w:hAnsi="Century Gothic"/>
        <w:sz w:val="20"/>
      </w:rPr>
      <w:t>11 (PASAK11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lowerLetter"/>
      <w:lvlText w:val="%4"/>
      <w:lvlJc w:val="left"/>
    </w:lvl>
    <w:lvl w:ilvl="4" w:tplc="FFFFFFFF">
      <w:start w:val="1"/>
      <w:numFmt w:val="lowerRoman"/>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35"/>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lowerLetter"/>
      <w:lvlText w:val="%4."/>
      <w:lvlJc w:val="left"/>
    </w:lvl>
    <w:lvl w:ilvl="4" w:tplc="FFFFFFFF">
      <w:start w:val="1"/>
      <w:numFmt w:val="lowerRoman"/>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4"/>
      <w:numFmt w:val="lowerLetter"/>
      <w:lvlText w:val="%1."/>
      <w:lvlJc w:val="left"/>
    </w:lvl>
    <w:lvl w:ilvl="1" w:tplc="FFFFFFFF">
      <w:start w:val="1"/>
      <w:numFmt w:val="bullet"/>
      <w:lvlText w:val=""/>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BF3C73"/>
    <w:multiLevelType w:val="hybridMultilevel"/>
    <w:tmpl w:val="6EF41CE2"/>
    <w:lvl w:ilvl="0" w:tplc="44090013">
      <w:start w:val="1"/>
      <w:numFmt w:val="upperRoman"/>
      <w:lvlText w:val="%1."/>
      <w:lvlJc w:val="right"/>
      <w:pPr>
        <w:ind w:left="720" w:hanging="18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1EC5FEA"/>
    <w:multiLevelType w:val="hybridMultilevel"/>
    <w:tmpl w:val="D3CE0F2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0882C47"/>
    <w:multiLevelType w:val="hybridMultilevel"/>
    <w:tmpl w:val="A978F9C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93D7901"/>
    <w:multiLevelType w:val="hybridMultilevel"/>
    <w:tmpl w:val="DA92CA9A"/>
    <w:lvl w:ilvl="0" w:tplc="3CFCF70E">
      <w:start w:val="1"/>
      <w:numFmt w:val="decimal"/>
      <w:lvlText w:val="%1-"/>
      <w:lvlJc w:val="left"/>
      <w:pPr>
        <w:ind w:left="720" w:hanging="360"/>
      </w:pPr>
      <w:rPr>
        <w:rFonts w:hint="default"/>
      </w:rPr>
    </w:lvl>
    <w:lvl w:ilvl="1" w:tplc="4AD068EA">
      <w:start w:val="1"/>
      <w:numFmt w:val="arabicAbjad"/>
      <w:lvlText w:val="%2-"/>
      <w:lvlJc w:val="left"/>
      <w:pPr>
        <w:ind w:left="1440" w:hanging="360"/>
      </w:pPr>
      <w:rPr>
        <w:rFonts w:hint="default"/>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19263CE"/>
    <w:multiLevelType w:val="hybridMultilevel"/>
    <w:tmpl w:val="6078385C"/>
    <w:lvl w:ilvl="0" w:tplc="44090013">
      <w:start w:val="1"/>
      <w:numFmt w:val="upperRoman"/>
      <w:lvlText w:val="%1."/>
      <w:lvlJc w:val="right"/>
      <w:pPr>
        <w:ind w:left="720" w:hanging="18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AB71DEA"/>
    <w:multiLevelType w:val="hybridMultilevel"/>
    <w:tmpl w:val="7CD0DA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C3E3B51"/>
    <w:multiLevelType w:val="hybridMultilevel"/>
    <w:tmpl w:val="522489C8"/>
    <w:lvl w:ilvl="0" w:tplc="44090013">
      <w:start w:val="1"/>
      <w:numFmt w:val="upperRoman"/>
      <w:lvlText w:val="%1."/>
      <w:lvlJc w:val="right"/>
      <w:pPr>
        <w:ind w:left="720" w:hanging="360"/>
      </w:pPr>
    </w:lvl>
    <w:lvl w:ilvl="1" w:tplc="AF74AA20">
      <w:numFmt w:val="bullet"/>
      <w:lvlText w:val="•"/>
      <w:lvlJc w:val="left"/>
      <w:pPr>
        <w:ind w:left="1440" w:hanging="360"/>
      </w:pPr>
      <w:rPr>
        <w:rFonts w:ascii="Traditional Arabic" w:eastAsia="Times New Roman" w:hAnsi="Traditional Arabic" w:cs="Traditional Arabic" w:hint="default"/>
      </w:rPr>
    </w:lvl>
    <w:lvl w:ilvl="2" w:tplc="4D0A008A">
      <w:start w:val="1"/>
      <w:numFmt w:val="arabicAlpha"/>
      <w:lvlText w:val="%3."/>
      <w:lvlJc w:val="left"/>
      <w:pPr>
        <w:ind w:left="2340" w:hanging="360"/>
      </w:pPr>
      <w:rPr>
        <w:rFonts w:hint="default"/>
      </w:r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73969879">
    <w:abstractNumId w:val="0"/>
  </w:num>
  <w:num w:numId="2" w16cid:durableId="649865432">
    <w:abstractNumId w:val="1"/>
  </w:num>
  <w:num w:numId="3" w16cid:durableId="380859497">
    <w:abstractNumId w:val="2"/>
  </w:num>
  <w:num w:numId="4" w16cid:durableId="895167761">
    <w:abstractNumId w:val="8"/>
  </w:num>
  <w:num w:numId="5" w16cid:durableId="374430349">
    <w:abstractNumId w:val="9"/>
  </w:num>
  <w:num w:numId="6" w16cid:durableId="1978680731">
    <w:abstractNumId w:val="4"/>
  </w:num>
  <w:num w:numId="7" w16cid:durableId="979698848">
    <w:abstractNumId w:val="5"/>
  </w:num>
  <w:num w:numId="8" w16cid:durableId="846601574">
    <w:abstractNumId w:val="3"/>
  </w:num>
  <w:num w:numId="9" w16cid:durableId="996306409">
    <w:abstractNumId w:val="7"/>
  </w:num>
  <w:num w:numId="10" w16cid:durableId="258874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97"/>
    <w:rsid w:val="00026F2D"/>
    <w:rsid w:val="00032274"/>
    <w:rsid w:val="0006296B"/>
    <w:rsid w:val="000A6CD6"/>
    <w:rsid w:val="001366A2"/>
    <w:rsid w:val="00141267"/>
    <w:rsid w:val="001C4B0A"/>
    <w:rsid w:val="00242600"/>
    <w:rsid w:val="003775D5"/>
    <w:rsid w:val="003E43C6"/>
    <w:rsid w:val="003F3B44"/>
    <w:rsid w:val="004609E9"/>
    <w:rsid w:val="0057037E"/>
    <w:rsid w:val="00582E8D"/>
    <w:rsid w:val="005D71A2"/>
    <w:rsid w:val="006070B7"/>
    <w:rsid w:val="0063225F"/>
    <w:rsid w:val="00637ADF"/>
    <w:rsid w:val="00672DFE"/>
    <w:rsid w:val="006B6D8C"/>
    <w:rsid w:val="00754744"/>
    <w:rsid w:val="009016B1"/>
    <w:rsid w:val="00954AD5"/>
    <w:rsid w:val="00A3297D"/>
    <w:rsid w:val="00A76A97"/>
    <w:rsid w:val="00AD12F7"/>
    <w:rsid w:val="00AE04E5"/>
    <w:rsid w:val="00B06FE9"/>
    <w:rsid w:val="00B658E8"/>
    <w:rsid w:val="00BF75CA"/>
    <w:rsid w:val="00C32159"/>
    <w:rsid w:val="00CE6613"/>
    <w:rsid w:val="00CF1AAB"/>
    <w:rsid w:val="00CF1D12"/>
    <w:rsid w:val="00E614E6"/>
    <w:rsid w:val="00EE2907"/>
    <w:rsid w:val="00FD3AC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D396D"/>
  <w15:chartTrackingRefBased/>
  <w15:docId w15:val="{5053E1E0-9A82-4CC9-A95C-959BEEEF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97"/>
    <w:pPr>
      <w:ind w:left="720"/>
    </w:pPr>
  </w:style>
  <w:style w:type="paragraph" w:styleId="Header">
    <w:name w:val="header"/>
    <w:basedOn w:val="Normal"/>
    <w:link w:val="HeaderChar"/>
    <w:uiPriority w:val="99"/>
    <w:unhideWhenUsed/>
    <w:rsid w:val="00B06FE9"/>
    <w:pPr>
      <w:tabs>
        <w:tab w:val="center" w:pos="4513"/>
        <w:tab w:val="right" w:pos="9026"/>
      </w:tabs>
    </w:pPr>
  </w:style>
  <w:style w:type="character" w:customStyle="1" w:styleId="HeaderChar">
    <w:name w:val="Header Char"/>
    <w:basedOn w:val="DefaultParagraphFont"/>
    <w:link w:val="Header"/>
    <w:uiPriority w:val="99"/>
    <w:rsid w:val="00B06FE9"/>
  </w:style>
  <w:style w:type="paragraph" w:styleId="Footer">
    <w:name w:val="footer"/>
    <w:basedOn w:val="Normal"/>
    <w:link w:val="FooterChar"/>
    <w:uiPriority w:val="99"/>
    <w:unhideWhenUsed/>
    <w:rsid w:val="00B06FE9"/>
    <w:pPr>
      <w:tabs>
        <w:tab w:val="center" w:pos="4513"/>
        <w:tab w:val="right" w:pos="9026"/>
      </w:tabs>
    </w:pPr>
  </w:style>
  <w:style w:type="character" w:customStyle="1" w:styleId="FooterChar">
    <w:name w:val="Footer Char"/>
    <w:basedOn w:val="DefaultParagraphFont"/>
    <w:link w:val="Footer"/>
    <w:uiPriority w:val="99"/>
    <w:rsid w:val="00B06FE9"/>
  </w:style>
  <w:style w:type="paragraph" w:customStyle="1" w:styleId="Topspaceforeditor">
    <w:name w:val="Top space for editor"/>
    <w:basedOn w:val="Normal"/>
    <w:rsid w:val="00637ADF"/>
    <w:pPr>
      <w:widowControl w:val="0"/>
      <w:jc w:val="right"/>
    </w:pPr>
    <w:rPr>
      <w:rFonts w:ascii="Times New Roman" w:eastAsia="SimSun" w:hAnsi="Times New Roman" w:cs="Times New Roman"/>
      <w:b/>
      <w:bCs/>
      <w:sz w:val="21"/>
      <w:lang w:val="en-GB" w:eastAsia="zh-CN"/>
    </w:rPr>
  </w:style>
  <w:style w:type="character" w:styleId="Hyperlink">
    <w:name w:val="Hyperlink"/>
    <w:basedOn w:val="DefaultParagraphFont"/>
    <w:uiPriority w:val="99"/>
    <w:unhideWhenUsed/>
    <w:rsid w:val="006B6D8C"/>
    <w:rPr>
      <w:color w:val="467886" w:themeColor="hyperlink"/>
      <w:u w:val="single"/>
    </w:rPr>
  </w:style>
  <w:style w:type="character" w:styleId="UnresolvedMention">
    <w:name w:val="Unresolved Mention"/>
    <w:basedOn w:val="DefaultParagraphFont"/>
    <w:uiPriority w:val="99"/>
    <w:semiHidden/>
    <w:unhideWhenUsed/>
    <w:rsid w:val="006B6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adiah@up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C5DF-5184-425B-BF08-1DA2B681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Links>
    <vt:vector size="18" baseType="variant">
      <vt:variant>
        <vt:i4>3932254</vt:i4>
      </vt:variant>
      <vt:variant>
        <vt:i4>6</vt:i4>
      </vt:variant>
      <vt:variant>
        <vt:i4>0</vt:i4>
      </vt:variant>
      <vt:variant>
        <vt:i4>5</vt:i4>
      </vt:variant>
      <vt:variant>
        <vt:lpwstr>mailto:msukki@upm.edu.my</vt:lpwstr>
      </vt:variant>
      <vt:variant>
        <vt:lpwstr/>
      </vt:variant>
      <vt:variant>
        <vt:i4>262249</vt:i4>
      </vt:variant>
      <vt:variant>
        <vt:i4>3</vt:i4>
      </vt:variant>
      <vt:variant>
        <vt:i4>0</vt:i4>
      </vt:variant>
      <vt:variant>
        <vt:i4>5</vt:i4>
      </vt:variant>
      <vt:variant>
        <vt:lpwstr>mailto:cradiah@upm.edu.my</vt:lpwstr>
      </vt:variant>
      <vt:variant>
        <vt:lpwstr/>
      </vt:variant>
      <vt:variant>
        <vt:i4>1638512</vt:i4>
      </vt:variant>
      <vt:variant>
        <vt:i4>0</vt:i4>
      </vt:variant>
      <vt:variant>
        <vt:i4>0</vt:i4>
      </vt:variant>
      <vt:variant>
        <vt:i4>5</vt:i4>
      </vt:variant>
      <vt:variant>
        <vt:lpwstr>mailto:mfairuz@kuipsas.edu.my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 ZAINI</dc:creator>
  <cp:keywords/>
  <cp:lastModifiedBy>Ahmad Nazeer</cp:lastModifiedBy>
  <cp:revision>4</cp:revision>
  <dcterms:created xsi:type="dcterms:W3CDTF">2026-04-08T03:16:00Z</dcterms:created>
  <dcterms:modified xsi:type="dcterms:W3CDTF">2026-04-10T00:40:00Z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1ba442a6-4785-455b-b00e-cc48182c97d5</vt:lpwstr>
  </property>
</Properties>
</file>